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F7AE1" w14:textId="4C60E151" w:rsidR="00C54D21" w:rsidRDefault="00C54D21" w:rsidP="0022226E">
      <w:pPr>
        <w:spacing w:after="0" w:line="240" w:lineRule="auto"/>
        <w:jc w:val="center"/>
        <w:rPr>
          <w:b/>
          <w:bCs/>
          <w:sz w:val="28"/>
          <w:szCs w:val="28"/>
        </w:rPr>
      </w:pPr>
      <w:r>
        <w:rPr>
          <w:b/>
          <w:noProof/>
          <w:sz w:val="28"/>
          <w:szCs w:val="28"/>
        </w:rPr>
        <w:drawing>
          <wp:inline distT="0" distB="0" distL="0" distR="0" wp14:anchorId="3BB0C821" wp14:editId="0B495F7B">
            <wp:extent cx="5943600" cy="1168400"/>
            <wp:effectExtent l="0" t="0" r="0" b="0"/>
            <wp:docPr id="1" name="Picture 1" descr="C:\Users\JHarrison\AppData\Local\Microsoft\Windows\Temporary Internet Files\Content.Outlook\IBBACWR4\NASW-Logo-Swo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rison\AppData\Local\Microsoft\Windows\Temporary Internet Files\Content.Outlook\IBBACWR4\NASW-Logo-Swoos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168400"/>
                    </a:xfrm>
                    <a:prstGeom prst="rect">
                      <a:avLst/>
                    </a:prstGeom>
                    <a:noFill/>
                    <a:ln>
                      <a:noFill/>
                    </a:ln>
                  </pic:spPr>
                </pic:pic>
              </a:graphicData>
            </a:graphic>
          </wp:inline>
        </w:drawing>
      </w:r>
    </w:p>
    <w:p w14:paraId="70215601" w14:textId="5EE08E20" w:rsidR="0022226E" w:rsidRPr="00273314" w:rsidRDefault="0022226E" w:rsidP="0022226E">
      <w:pPr>
        <w:spacing w:after="0" w:line="240" w:lineRule="auto"/>
        <w:jc w:val="center"/>
        <w:rPr>
          <w:b/>
          <w:bCs/>
          <w:sz w:val="32"/>
          <w:szCs w:val="32"/>
        </w:rPr>
      </w:pPr>
      <w:r w:rsidRPr="00273314">
        <w:rPr>
          <w:b/>
          <w:bCs/>
          <w:sz w:val="32"/>
          <w:szCs w:val="32"/>
        </w:rPr>
        <w:t>PRACTICE ALERT</w:t>
      </w:r>
    </w:p>
    <w:p w14:paraId="3115B8FF" w14:textId="77777777" w:rsidR="0022226E" w:rsidRDefault="0022226E" w:rsidP="0022226E">
      <w:pPr>
        <w:spacing w:after="0" w:line="240" w:lineRule="auto"/>
        <w:jc w:val="center"/>
        <w:rPr>
          <w:b/>
          <w:bCs/>
          <w:sz w:val="28"/>
          <w:szCs w:val="28"/>
        </w:rPr>
      </w:pPr>
    </w:p>
    <w:p w14:paraId="523D7024" w14:textId="49ED5654" w:rsidR="0022226E" w:rsidRPr="00273314" w:rsidRDefault="006A52A3" w:rsidP="001076AE">
      <w:pPr>
        <w:spacing w:after="0" w:line="240" w:lineRule="auto"/>
        <w:jc w:val="center"/>
        <w:rPr>
          <w:b/>
          <w:bCs/>
          <w:sz w:val="32"/>
          <w:szCs w:val="32"/>
        </w:rPr>
      </w:pPr>
      <w:r w:rsidRPr="00273314">
        <w:rPr>
          <w:b/>
          <w:bCs/>
          <w:sz w:val="32"/>
          <w:szCs w:val="32"/>
        </w:rPr>
        <w:t xml:space="preserve">Highlights of the </w:t>
      </w:r>
      <w:r w:rsidR="00B402DE" w:rsidRPr="00273314">
        <w:rPr>
          <w:b/>
          <w:bCs/>
          <w:sz w:val="32"/>
          <w:szCs w:val="32"/>
        </w:rPr>
        <w:t xml:space="preserve">Medicare CY </w:t>
      </w:r>
      <w:r w:rsidRPr="00273314">
        <w:rPr>
          <w:b/>
          <w:bCs/>
          <w:sz w:val="32"/>
          <w:szCs w:val="32"/>
        </w:rPr>
        <w:t xml:space="preserve">2021 </w:t>
      </w:r>
    </w:p>
    <w:p w14:paraId="6C53D182" w14:textId="03674865" w:rsidR="0022226E" w:rsidRDefault="006A52A3" w:rsidP="001076AE">
      <w:pPr>
        <w:spacing w:after="0" w:line="240" w:lineRule="auto"/>
        <w:jc w:val="center"/>
        <w:rPr>
          <w:b/>
          <w:bCs/>
          <w:sz w:val="28"/>
          <w:szCs w:val="28"/>
        </w:rPr>
      </w:pPr>
      <w:r w:rsidRPr="00273314">
        <w:rPr>
          <w:b/>
          <w:bCs/>
          <w:sz w:val="32"/>
          <w:szCs w:val="32"/>
        </w:rPr>
        <w:t>Physician Final Rule</w:t>
      </w:r>
    </w:p>
    <w:p w14:paraId="5079E8C4" w14:textId="58E8469C" w:rsidR="006A52A3" w:rsidRPr="00FB6408" w:rsidRDefault="006A52A3" w:rsidP="0022226E">
      <w:pPr>
        <w:spacing w:after="0" w:line="240" w:lineRule="auto"/>
        <w:jc w:val="center"/>
        <w:rPr>
          <w:rFonts w:cstheme="minorHAnsi"/>
          <w:b/>
          <w:bCs/>
          <w:sz w:val="28"/>
          <w:szCs w:val="28"/>
        </w:rPr>
      </w:pPr>
      <w:r w:rsidRPr="00FB6408">
        <w:rPr>
          <w:rFonts w:cstheme="minorHAnsi"/>
          <w:b/>
          <w:bCs/>
          <w:sz w:val="28"/>
          <w:szCs w:val="28"/>
        </w:rPr>
        <w:t xml:space="preserve">December </w:t>
      </w:r>
      <w:r w:rsidR="00431E2F" w:rsidRPr="00FB6408">
        <w:rPr>
          <w:rFonts w:cstheme="minorHAnsi"/>
          <w:b/>
          <w:bCs/>
          <w:sz w:val="28"/>
          <w:szCs w:val="28"/>
        </w:rPr>
        <w:t>2020</w:t>
      </w:r>
    </w:p>
    <w:p w14:paraId="228800E8" w14:textId="77777777" w:rsidR="0022226E" w:rsidRPr="004A5165" w:rsidRDefault="0022226E" w:rsidP="001076AE">
      <w:pPr>
        <w:spacing w:after="0" w:line="240" w:lineRule="auto"/>
        <w:jc w:val="center"/>
        <w:rPr>
          <w:rFonts w:cstheme="minorHAnsi"/>
          <w:b/>
          <w:bCs/>
          <w:sz w:val="24"/>
          <w:szCs w:val="24"/>
        </w:rPr>
      </w:pPr>
    </w:p>
    <w:p w14:paraId="52D385EA" w14:textId="77777777" w:rsidR="00FB6408" w:rsidRDefault="004F6A3B" w:rsidP="001076AE">
      <w:pPr>
        <w:spacing w:after="0" w:line="240" w:lineRule="auto"/>
        <w:rPr>
          <w:rFonts w:cstheme="minorHAnsi"/>
          <w:sz w:val="24"/>
          <w:szCs w:val="24"/>
        </w:rPr>
      </w:pPr>
      <w:r w:rsidRPr="004A5165">
        <w:rPr>
          <w:rFonts w:cstheme="minorHAnsi"/>
          <w:sz w:val="24"/>
          <w:szCs w:val="24"/>
        </w:rPr>
        <w:t xml:space="preserve">On December 1, 2020, the Centers for </w:t>
      </w:r>
      <w:proofErr w:type="gramStart"/>
      <w:r w:rsidRPr="004A5165">
        <w:rPr>
          <w:rFonts w:cstheme="minorHAnsi"/>
          <w:sz w:val="24"/>
          <w:szCs w:val="24"/>
        </w:rPr>
        <w:t>Medicare</w:t>
      </w:r>
      <w:proofErr w:type="gramEnd"/>
      <w:r w:rsidRPr="004A5165">
        <w:rPr>
          <w:rFonts w:cstheme="minorHAnsi"/>
          <w:sz w:val="24"/>
          <w:szCs w:val="24"/>
        </w:rPr>
        <w:t xml:space="preserve"> and Medicaid Services (CMS) released the final rule for the Medicare Physician Fee Schedule. </w:t>
      </w:r>
    </w:p>
    <w:p w14:paraId="080B1DAD" w14:textId="77777777" w:rsidR="00FB6408" w:rsidRDefault="00FB6408" w:rsidP="001076AE">
      <w:pPr>
        <w:spacing w:after="0" w:line="240" w:lineRule="auto"/>
        <w:rPr>
          <w:rFonts w:cstheme="minorHAnsi"/>
          <w:sz w:val="24"/>
          <w:szCs w:val="24"/>
        </w:rPr>
      </w:pPr>
    </w:p>
    <w:p w14:paraId="5B746D4A" w14:textId="77777777" w:rsidR="00FB6408" w:rsidRDefault="0022226E" w:rsidP="001076AE">
      <w:pPr>
        <w:spacing w:after="0" w:line="240" w:lineRule="auto"/>
        <w:rPr>
          <w:rFonts w:cstheme="minorHAnsi"/>
          <w:sz w:val="24"/>
          <w:szCs w:val="24"/>
        </w:rPr>
      </w:pPr>
      <w:r w:rsidRPr="004A5165">
        <w:rPr>
          <w:rFonts w:cstheme="minorHAnsi"/>
          <w:sz w:val="24"/>
          <w:szCs w:val="24"/>
        </w:rPr>
        <w:t xml:space="preserve">The rule </w:t>
      </w:r>
      <w:r w:rsidR="004F6A3B" w:rsidRPr="004A5165">
        <w:rPr>
          <w:rFonts w:cstheme="minorHAnsi"/>
          <w:sz w:val="24"/>
          <w:szCs w:val="24"/>
        </w:rPr>
        <w:t xml:space="preserve">is effective January 1, 2021 and applies to Medicare providers including clinical social workers (CSWs). </w:t>
      </w:r>
    </w:p>
    <w:p w14:paraId="186E3816" w14:textId="77777777" w:rsidR="00FB6408" w:rsidRDefault="00FB6408" w:rsidP="001076AE">
      <w:pPr>
        <w:spacing w:after="0" w:line="240" w:lineRule="auto"/>
        <w:rPr>
          <w:rFonts w:cstheme="minorHAnsi"/>
          <w:sz w:val="24"/>
          <w:szCs w:val="24"/>
        </w:rPr>
      </w:pPr>
    </w:p>
    <w:p w14:paraId="597331D1" w14:textId="1C919783" w:rsidR="0022226E" w:rsidRDefault="004F6A3B" w:rsidP="001076AE">
      <w:pPr>
        <w:spacing w:after="0" w:line="240" w:lineRule="auto"/>
        <w:rPr>
          <w:rFonts w:cstheme="minorHAnsi"/>
          <w:sz w:val="24"/>
          <w:szCs w:val="24"/>
        </w:rPr>
      </w:pPr>
      <w:r w:rsidRPr="004A5165">
        <w:rPr>
          <w:rFonts w:cstheme="minorHAnsi"/>
          <w:sz w:val="24"/>
          <w:szCs w:val="24"/>
        </w:rPr>
        <w:t>The following is a summary of the rule provisions that apply to CSWs</w:t>
      </w:r>
      <w:r w:rsidR="00C54D21" w:rsidRPr="004A5165">
        <w:rPr>
          <w:rFonts w:cstheme="minorHAnsi"/>
          <w:sz w:val="24"/>
          <w:szCs w:val="24"/>
        </w:rPr>
        <w:t>.</w:t>
      </w:r>
    </w:p>
    <w:p w14:paraId="36F9EA00" w14:textId="2C92CE0E" w:rsidR="00FB6408" w:rsidRDefault="00FB6408" w:rsidP="001076AE">
      <w:pPr>
        <w:spacing w:after="0" w:line="240" w:lineRule="auto"/>
        <w:rPr>
          <w:rFonts w:cstheme="minorHAnsi"/>
          <w:sz w:val="24"/>
          <w:szCs w:val="24"/>
        </w:rPr>
      </w:pPr>
    </w:p>
    <w:p w14:paraId="65727E54" w14:textId="77777777" w:rsidR="00FB6408" w:rsidRPr="00FB6408" w:rsidRDefault="00FB6408" w:rsidP="00FB6408">
      <w:pPr>
        <w:spacing w:after="0" w:line="240" w:lineRule="auto"/>
        <w:rPr>
          <w:rFonts w:cstheme="minorHAnsi"/>
          <w:b/>
          <w:bCs/>
          <w:sz w:val="28"/>
          <w:szCs w:val="28"/>
        </w:rPr>
      </w:pPr>
      <w:bookmarkStart w:id="0" w:name="_Hlk58947818"/>
      <w:r w:rsidRPr="00FB6408">
        <w:rPr>
          <w:rFonts w:cstheme="minorHAnsi"/>
          <w:b/>
          <w:bCs/>
          <w:sz w:val="28"/>
          <w:szCs w:val="28"/>
        </w:rPr>
        <w:t>Reimbursement</w:t>
      </w:r>
    </w:p>
    <w:p w14:paraId="74654842" w14:textId="77777777" w:rsidR="00FB6408" w:rsidRPr="004A5165" w:rsidRDefault="00FB6408" w:rsidP="00FB6408">
      <w:pPr>
        <w:spacing w:after="0" w:line="240" w:lineRule="auto"/>
        <w:rPr>
          <w:rFonts w:cstheme="minorHAnsi"/>
          <w:b/>
          <w:bCs/>
          <w:sz w:val="24"/>
          <w:szCs w:val="24"/>
        </w:rPr>
      </w:pPr>
    </w:p>
    <w:p w14:paraId="75158697" w14:textId="2E5374F0" w:rsidR="00FB6408" w:rsidRDefault="00FB6408" w:rsidP="00FB6408">
      <w:pPr>
        <w:spacing w:after="0" w:line="240" w:lineRule="auto"/>
        <w:rPr>
          <w:rFonts w:cstheme="minorHAnsi"/>
          <w:sz w:val="24"/>
          <w:szCs w:val="24"/>
        </w:rPr>
      </w:pPr>
      <w:r w:rsidRPr="004A5165">
        <w:rPr>
          <w:rFonts w:cstheme="minorHAnsi"/>
          <w:sz w:val="24"/>
          <w:szCs w:val="24"/>
        </w:rPr>
        <w:t>There are both increases and decreases in reimbursement</w:t>
      </w:r>
      <w:r w:rsidR="00EE0EE4">
        <w:rPr>
          <w:rFonts w:cstheme="minorHAnsi"/>
          <w:sz w:val="24"/>
          <w:szCs w:val="24"/>
        </w:rPr>
        <w:t xml:space="preserve"> rates</w:t>
      </w:r>
      <w:r w:rsidRPr="004A5165">
        <w:rPr>
          <w:rFonts w:cstheme="minorHAnsi"/>
          <w:sz w:val="24"/>
          <w:szCs w:val="24"/>
        </w:rPr>
        <w:t xml:space="preserve"> for the </w:t>
      </w:r>
      <w:r>
        <w:rPr>
          <w:rFonts w:cstheme="minorHAnsi"/>
          <w:sz w:val="24"/>
          <w:szCs w:val="24"/>
        </w:rPr>
        <w:t>psychotherapy co</w:t>
      </w:r>
      <w:r w:rsidRPr="004A5165">
        <w:rPr>
          <w:rFonts w:cstheme="minorHAnsi"/>
          <w:sz w:val="24"/>
          <w:szCs w:val="24"/>
        </w:rPr>
        <w:t>des that CSWs bill.</w:t>
      </w:r>
      <w:r w:rsidR="00FF3CBF">
        <w:rPr>
          <w:rFonts w:cstheme="minorHAnsi"/>
          <w:sz w:val="24"/>
          <w:szCs w:val="24"/>
        </w:rPr>
        <w:t xml:space="preserve"> They are outlined in the table below and reflect nationwide rates.</w:t>
      </w:r>
      <w:r w:rsidRPr="004A5165">
        <w:rPr>
          <w:rFonts w:cstheme="minorHAnsi"/>
          <w:sz w:val="24"/>
          <w:szCs w:val="24"/>
        </w:rPr>
        <w:t xml:space="preserve"> The decreases were made to offset increases in payment for office and outpatient evaluation and management (E/M) services. These offsets are required </w:t>
      </w:r>
      <w:proofErr w:type="gramStart"/>
      <w:r w:rsidRPr="004A5165">
        <w:rPr>
          <w:rFonts w:cstheme="minorHAnsi"/>
          <w:sz w:val="24"/>
          <w:szCs w:val="24"/>
        </w:rPr>
        <w:t>in order to</w:t>
      </w:r>
      <w:proofErr w:type="gramEnd"/>
      <w:r w:rsidRPr="004A5165">
        <w:rPr>
          <w:rFonts w:cstheme="minorHAnsi"/>
          <w:sz w:val="24"/>
          <w:szCs w:val="24"/>
        </w:rPr>
        <w:t xml:space="preserve"> achieve Medicare budget neutrality. They are impacting many provider types in the Medicare program in addition to CSWs. </w:t>
      </w:r>
    </w:p>
    <w:p w14:paraId="0D44BDFE" w14:textId="77777777" w:rsidR="00FB6408" w:rsidRDefault="00FB6408" w:rsidP="00FB6408">
      <w:pPr>
        <w:spacing w:after="0" w:line="240" w:lineRule="auto"/>
        <w:rPr>
          <w:rFonts w:cstheme="minorHAnsi"/>
          <w:sz w:val="24"/>
          <w:szCs w:val="24"/>
        </w:rPr>
      </w:pPr>
    </w:p>
    <w:p w14:paraId="6C9213D2" w14:textId="36109BB2" w:rsidR="00FB6408" w:rsidRPr="00FB6408" w:rsidRDefault="00FB6408" w:rsidP="00FB6408">
      <w:pPr>
        <w:spacing w:after="0" w:line="240" w:lineRule="auto"/>
        <w:rPr>
          <w:rFonts w:cstheme="minorHAnsi"/>
          <w:color w:val="000000"/>
          <w:shd w:val="clear" w:color="auto" w:fill="FFFFFF"/>
        </w:rPr>
      </w:pPr>
      <w:r w:rsidRPr="004A5165">
        <w:rPr>
          <w:rFonts w:cstheme="minorHAnsi"/>
          <w:color w:val="000000"/>
          <w:sz w:val="24"/>
          <w:szCs w:val="24"/>
          <w:shd w:val="clear" w:color="auto" w:fill="FFFFFF"/>
        </w:rPr>
        <w:t>Despite N</w:t>
      </w:r>
      <w:r>
        <w:rPr>
          <w:rFonts w:cstheme="minorHAnsi"/>
          <w:color w:val="000000"/>
          <w:sz w:val="24"/>
          <w:szCs w:val="24"/>
          <w:shd w:val="clear" w:color="auto" w:fill="FFFFFF"/>
        </w:rPr>
        <w:t>ASW’s efforts, together with scores of other provider groups, to work with Congress to</w:t>
      </w:r>
      <w:r w:rsidRPr="004A5165">
        <w:rPr>
          <w:rFonts w:cstheme="minorHAnsi"/>
          <w:color w:val="000000"/>
          <w:sz w:val="24"/>
          <w:szCs w:val="24"/>
          <w:shd w:val="clear" w:color="auto" w:fill="FFFFFF"/>
        </w:rPr>
        <w:t xml:space="preserve"> waive the budget neutrality requirement that forced the offset, </w:t>
      </w:r>
      <w:r>
        <w:rPr>
          <w:rFonts w:cstheme="minorHAnsi"/>
          <w:color w:val="000000"/>
          <w:sz w:val="24"/>
          <w:szCs w:val="24"/>
          <w:shd w:val="clear" w:color="auto" w:fill="FFFFFF"/>
        </w:rPr>
        <w:t xml:space="preserve">CMS </w:t>
      </w:r>
      <w:r w:rsidRPr="004A5165">
        <w:rPr>
          <w:rFonts w:cstheme="minorHAnsi"/>
          <w:color w:val="000000"/>
          <w:sz w:val="24"/>
          <w:szCs w:val="24"/>
          <w:shd w:val="clear" w:color="auto" w:fill="FFFFFF"/>
        </w:rPr>
        <w:t>will reduce the conversion facto</w:t>
      </w:r>
      <w:r>
        <w:rPr>
          <w:rFonts w:cstheme="minorHAnsi"/>
          <w:color w:val="000000"/>
          <w:sz w:val="24"/>
          <w:szCs w:val="24"/>
          <w:shd w:val="clear" w:color="auto" w:fill="FFFFFF"/>
        </w:rPr>
        <w:t>r (CF)</w:t>
      </w:r>
      <w:r w:rsidRPr="004A5165">
        <w:rPr>
          <w:rFonts w:cstheme="minorHAnsi"/>
          <w:color w:val="000000"/>
          <w:sz w:val="24"/>
          <w:szCs w:val="24"/>
          <w:shd w:val="clear" w:color="auto" w:fill="FFFFFF"/>
        </w:rPr>
        <w:t xml:space="preserve"> —a multiplier used to determine practitioners’ Medicare payments</w:t>
      </w:r>
      <w:r>
        <w:rPr>
          <w:rFonts w:cstheme="minorHAnsi"/>
          <w:color w:val="000000"/>
          <w:sz w:val="24"/>
          <w:szCs w:val="24"/>
          <w:shd w:val="clear" w:color="auto" w:fill="FFFFFF"/>
        </w:rPr>
        <w:t xml:space="preserve"> </w:t>
      </w:r>
      <w:r w:rsidRPr="004A5165">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4A5165">
        <w:rPr>
          <w:rFonts w:cstheme="minorHAnsi"/>
          <w:color w:val="000000"/>
          <w:sz w:val="24"/>
          <w:szCs w:val="24"/>
          <w:shd w:val="clear" w:color="auto" w:fill="FFFFFF"/>
        </w:rPr>
        <w:t>by 10.2%</w:t>
      </w:r>
      <w:r>
        <w:rPr>
          <w:rFonts w:cstheme="minorHAnsi"/>
          <w:color w:val="000000"/>
          <w:sz w:val="24"/>
          <w:szCs w:val="24"/>
          <w:shd w:val="clear" w:color="auto" w:fill="FFFFFF"/>
        </w:rPr>
        <w:t xml:space="preserve">. </w:t>
      </w:r>
      <w:r w:rsidRPr="00FB6408">
        <w:rPr>
          <w:rFonts w:cstheme="minorHAnsi"/>
          <w:color w:val="000000"/>
          <w:sz w:val="24"/>
          <w:szCs w:val="24"/>
          <w:shd w:val="clear" w:color="auto" w:fill="FFFFFF"/>
        </w:rPr>
        <w:t>Under Medicare’s payment formula, each billing code’s values for work, practice expense, and malpractice expense are multiplied by the CF, along with a geographic index, and combined to create the payment amount.</w:t>
      </w:r>
      <w:r w:rsidR="00C77600">
        <w:rPr>
          <w:rFonts w:cstheme="minorHAnsi"/>
          <w:color w:val="000000"/>
          <w:sz w:val="24"/>
          <w:szCs w:val="24"/>
          <w:shd w:val="clear" w:color="auto" w:fill="FFFFFF"/>
        </w:rPr>
        <w:t xml:space="preserve"> </w:t>
      </w:r>
    </w:p>
    <w:p w14:paraId="3B0F4544" w14:textId="77777777" w:rsidR="00FB6408" w:rsidRPr="00FB6408" w:rsidRDefault="00FB6408" w:rsidP="00FB6408">
      <w:pPr>
        <w:spacing w:after="0" w:line="240" w:lineRule="auto"/>
        <w:rPr>
          <w:rFonts w:cstheme="minorHAnsi"/>
          <w:color w:val="000000"/>
          <w:shd w:val="clear" w:color="auto" w:fill="FFFFFF"/>
        </w:rPr>
      </w:pPr>
    </w:p>
    <w:p w14:paraId="53E123C9" w14:textId="4F2BD987" w:rsidR="00FB6408" w:rsidRDefault="00FB6408" w:rsidP="00FB6408">
      <w:pPr>
        <w:spacing w:after="0" w:line="240" w:lineRule="auto"/>
        <w:rPr>
          <w:rFonts w:cstheme="minorHAnsi"/>
          <w:i/>
          <w:iCs/>
          <w:color w:val="000000"/>
          <w:sz w:val="24"/>
          <w:szCs w:val="24"/>
          <w:shd w:val="clear" w:color="auto" w:fill="FFFFFF"/>
        </w:rPr>
      </w:pPr>
      <w:r w:rsidRPr="00FB6408">
        <w:rPr>
          <w:rFonts w:cstheme="minorHAnsi"/>
          <w:i/>
          <w:iCs/>
          <w:color w:val="000000"/>
          <w:sz w:val="24"/>
          <w:szCs w:val="24"/>
          <w:shd w:val="clear" w:color="auto" w:fill="FFFFFF"/>
        </w:rPr>
        <w:t>NASW continues to advocate vigorously to engage Congress to stop these</w:t>
      </w:r>
      <w:r w:rsidR="006E2898">
        <w:rPr>
          <w:rFonts w:cstheme="minorHAnsi"/>
          <w:i/>
          <w:iCs/>
          <w:color w:val="000000"/>
          <w:sz w:val="24"/>
          <w:szCs w:val="24"/>
          <w:shd w:val="clear" w:color="auto" w:fill="FFFFFF"/>
        </w:rPr>
        <w:t xml:space="preserve"> harmful</w:t>
      </w:r>
      <w:r w:rsidRPr="00FB6408">
        <w:rPr>
          <w:rFonts w:cstheme="minorHAnsi"/>
          <w:i/>
          <w:iCs/>
          <w:color w:val="000000"/>
          <w:sz w:val="24"/>
          <w:szCs w:val="24"/>
          <w:shd w:val="clear" w:color="auto" w:fill="FFFFFF"/>
        </w:rPr>
        <w:t xml:space="preserve"> cuts</w:t>
      </w:r>
      <w:r w:rsidR="004C75B0">
        <w:rPr>
          <w:rFonts w:cstheme="minorHAnsi"/>
          <w:i/>
          <w:iCs/>
          <w:color w:val="000000"/>
          <w:sz w:val="24"/>
          <w:szCs w:val="24"/>
          <w:shd w:val="clear" w:color="auto" w:fill="FFFFFF"/>
        </w:rPr>
        <w:t>!</w:t>
      </w:r>
    </w:p>
    <w:p w14:paraId="3321F285" w14:textId="01EF1DEC" w:rsidR="00FB6408" w:rsidRDefault="00FB6408" w:rsidP="00FB6408">
      <w:pPr>
        <w:spacing w:after="0" w:line="240" w:lineRule="auto"/>
        <w:rPr>
          <w:rFonts w:cstheme="minorHAnsi"/>
          <w:i/>
          <w:iCs/>
          <w:color w:val="000000"/>
          <w:sz w:val="24"/>
          <w:szCs w:val="24"/>
          <w:shd w:val="clear" w:color="auto" w:fill="FFFFFF"/>
        </w:rPr>
      </w:pPr>
    </w:p>
    <w:p w14:paraId="4D5B98DC" w14:textId="4E041D9E" w:rsidR="00FB6408" w:rsidRDefault="00FB6408" w:rsidP="00FB6408">
      <w:pPr>
        <w:spacing w:after="0" w:line="240" w:lineRule="auto"/>
        <w:rPr>
          <w:rFonts w:cstheme="minorHAnsi"/>
          <w:i/>
          <w:iCs/>
          <w:color w:val="000000"/>
          <w:sz w:val="24"/>
          <w:szCs w:val="24"/>
          <w:shd w:val="clear" w:color="auto" w:fill="FFFFFF"/>
        </w:rPr>
      </w:pPr>
    </w:p>
    <w:p w14:paraId="0EF1243F" w14:textId="5408434D" w:rsidR="00FB6408" w:rsidRDefault="00FB6408" w:rsidP="00FB6408">
      <w:pPr>
        <w:spacing w:after="0" w:line="240" w:lineRule="auto"/>
        <w:rPr>
          <w:rFonts w:cstheme="minorHAnsi"/>
          <w:i/>
          <w:iCs/>
          <w:color w:val="000000"/>
          <w:sz w:val="24"/>
          <w:szCs w:val="24"/>
          <w:shd w:val="clear" w:color="auto" w:fill="FFFFFF"/>
        </w:rPr>
      </w:pPr>
    </w:p>
    <w:p w14:paraId="5C0AC693" w14:textId="77777777" w:rsidR="00FB6408" w:rsidRDefault="00FB6408" w:rsidP="00FB6408">
      <w:pPr>
        <w:spacing w:after="0" w:line="240" w:lineRule="auto"/>
        <w:rPr>
          <w:rFonts w:cstheme="minorHAnsi"/>
          <w:i/>
          <w:iCs/>
          <w:color w:val="000000"/>
          <w:sz w:val="24"/>
          <w:szCs w:val="24"/>
          <w:shd w:val="clear" w:color="auto" w:fill="FFFFFF"/>
        </w:rPr>
      </w:pPr>
    </w:p>
    <w:p w14:paraId="12988CC6" w14:textId="015D3B09" w:rsidR="00FB6408" w:rsidRDefault="00FB6408" w:rsidP="00FB6408">
      <w:pPr>
        <w:spacing w:after="0" w:line="240" w:lineRule="auto"/>
        <w:rPr>
          <w:rFonts w:cstheme="minorHAnsi"/>
          <w:i/>
          <w:iCs/>
          <w:color w:val="000000"/>
          <w:sz w:val="24"/>
          <w:szCs w:val="24"/>
          <w:shd w:val="clear" w:color="auto" w:fill="FFFFFF"/>
        </w:rPr>
      </w:pPr>
    </w:p>
    <w:p w14:paraId="7F26A6F0" w14:textId="77777777" w:rsidR="00FB6408" w:rsidRPr="00FB6408" w:rsidRDefault="00FB6408" w:rsidP="00FB6408">
      <w:pPr>
        <w:pStyle w:val="ListParagraph"/>
        <w:spacing w:after="0" w:line="240" w:lineRule="auto"/>
        <w:jc w:val="center"/>
        <w:rPr>
          <w:rFonts w:cstheme="minorHAnsi"/>
          <w:i/>
          <w:iCs/>
          <w:sz w:val="24"/>
          <w:szCs w:val="24"/>
        </w:rPr>
      </w:pPr>
    </w:p>
    <w:tbl>
      <w:tblPr>
        <w:tblW w:w="7665" w:type="dxa"/>
        <w:tblInd w:w="-5" w:type="dxa"/>
        <w:tblLook w:val="04A0" w:firstRow="1" w:lastRow="0" w:firstColumn="1" w:lastColumn="0" w:noHBand="0" w:noVBand="1"/>
      </w:tblPr>
      <w:tblGrid>
        <w:gridCol w:w="960"/>
        <w:gridCol w:w="5245"/>
        <w:gridCol w:w="1170"/>
        <w:gridCol w:w="290"/>
      </w:tblGrid>
      <w:tr w:rsidR="00FB6408" w:rsidRPr="004A5165" w14:paraId="3CA349C1" w14:textId="77777777" w:rsidTr="00FB6408">
        <w:trPr>
          <w:trHeight w:val="395"/>
        </w:trPr>
        <w:tc>
          <w:tcPr>
            <w:tcW w:w="96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08DF4BFD" w14:textId="77777777" w:rsidR="00FB6408" w:rsidRPr="004A5165" w:rsidRDefault="00FB6408" w:rsidP="00FB6408">
            <w:pPr>
              <w:spacing w:after="0" w:line="240" w:lineRule="auto"/>
              <w:jc w:val="center"/>
              <w:rPr>
                <w:rFonts w:eastAsia="Times New Roman" w:cstheme="minorHAnsi"/>
                <w:b/>
                <w:bCs/>
                <w:sz w:val="24"/>
                <w:szCs w:val="24"/>
              </w:rPr>
            </w:pPr>
            <w:r w:rsidRPr="004A5165">
              <w:rPr>
                <w:rFonts w:eastAsia="Times New Roman" w:cstheme="minorHAnsi"/>
                <w:b/>
                <w:bCs/>
                <w:sz w:val="24"/>
                <w:szCs w:val="24"/>
              </w:rPr>
              <w:t>CPT Code</w:t>
            </w:r>
          </w:p>
        </w:tc>
        <w:tc>
          <w:tcPr>
            <w:tcW w:w="524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72D3B1" w14:textId="0E3B16A5" w:rsidR="00FB6408" w:rsidRPr="004A5165" w:rsidRDefault="001A404C" w:rsidP="00FB6408">
            <w:pPr>
              <w:spacing w:after="0" w:line="240" w:lineRule="auto"/>
              <w:jc w:val="center"/>
              <w:rPr>
                <w:rFonts w:eastAsia="Times New Roman" w:cstheme="minorHAnsi"/>
                <w:b/>
                <w:bCs/>
                <w:sz w:val="24"/>
                <w:szCs w:val="24"/>
              </w:rPr>
            </w:pPr>
            <w:r>
              <w:rPr>
                <w:rFonts w:eastAsia="Times New Roman" w:cstheme="minorHAnsi"/>
                <w:b/>
                <w:bCs/>
                <w:sz w:val="24"/>
                <w:szCs w:val="24"/>
              </w:rPr>
              <w:t>Code Descriptor</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tcPr>
          <w:p w14:paraId="453022A3" w14:textId="77777777" w:rsidR="00FB6408" w:rsidRPr="004A5165" w:rsidRDefault="00FB6408" w:rsidP="00FB6408">
            <w:pPr>
              <w:spacing w:after="0" w:line="240" w:lineRule="auto"/>
              <w:jc w:val="center"/>
              <w:rPr>
                <w:rFonts w:eastAsia="Times New Roman" w:cstheme="minorHAnsi"/>
                <w:b/>
                <w:bCs/>
                <w:sz w:val="24"/>
                <w:szCs w:val="24"/>
              </w:rPr>
            </w:pPr>
            <w:r w:rsidRPr="004A5165">
              <w:rPr>
                <w:rFonts w:eastAsia="Times New Roman" w:cstheme="minorHAnsi"/>
                <w:b/>
                <w:bCs/>
                <w:sz w:val="24"/>
                <w:szCs w:val="24"/>
              </w:rPr>
              <w:t>% Change (RVU Payment Rate)</w:t>
            </w:r>
          </w:p>
        </w:tc>
        <w:tc>
          <w:tcPr>
            <w:tcW w:w="290" w:type="dxa"/>
            <w:vAlign w:val="bottom"/>
          </w:tcPr>
          <w:p w14:paraId="62ADB26F" w14:textId="77777777" w:rsidR="00FB6408" w:rsidRPr="004A5165" w:rsidRDefault="00FB6408" w:rsidP="00FB6408">
            <w:pPr>
              <w:jc w:val="center"/>
              <w:rPr>
                <w:rFonts w:eastAsia="Times New Roman" w:cstheme="minorHAnsi"/>
                <w:sz w:val="24"/>
                <w:szCs w:val="24"/>
              </w:rPr>
            </w:pPr>
          </w:p>
        </w:tc>
      </w:tr>
      <w:tr w:rsidR="007549BE" w:rsidRPr="004A5165" w14:paraId="63EFD72D" w14:textId="77777777" w:rsidTr="002A402A">
        <w:trPr>
          <w:trHeight w:val="39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70870AE" w14:textId="4F3969BA" w:rsidR="007549BE" w:rsidRPr="00B97BEC" w:rsidRDefault="007549BE" w:rsidP="00FB6408">
            <w:pPr>
              <w:spacing w:after="0" w:line="240" w:lineRule="auto"/>
              <w:jc w:val="center"/>
              <w:rPr>
                <w:rFonts w:eastAsia="Times New Roman" w:cstheme="minorHAnsi"/>
                <w:color w:val="000000"/>
                <w:sz w:val="24"/>
                <w:szCs w:val="24"/>
              </w:rPr>
            </w:pPr>
            <w:r>
              <w:rPr>
                <w:rFonts w:eastAsia="Times New Roman" w:cstheme="minorHAnsi"/>
                <w:color w:val="000000"/>
                <w:sz w:val="24"/>
                <w:szCs w:val="24"/>
              </w:rPr>
              <w:t>90785</w:t>
            </w:r>
          </w:p>
        </w:tc>
        <w:tc>
          <w:tcPr>
            <w:tcW w:w="5245" w:type="dxa"/>
            <w:tcBorders>
              <w:top w:val="single" w:sz="4" w:space="0" w:color="auto"/>
              <w:left w:val="nil"/>
              <w:bottom w:val="single" w:sz="4" w:space="0" w:color="auto"/>
              <w:right w:val="single" w:sz="4" w:space="0" w:color="auto"/>
            </w:tcBorders>
            <w:shd w:val="clear" w:color="auto" w:fill="auto"/>
            <w:vAlign w:val="center"/>
          </w:tcPr>
          <w:p w14:paraId="79D7A3DD" w14:textId="6180E184" w:rsidR="007549BE" w:rsidRPr="00B97BEC" w:rsidRDefault="007549BE" w:rsidP="00FB6408">
            <w:pPr>
              <w:spacing w:after="0" w:line="240" w:lineRule="auto"/>
              <w:jc w:val="center"/>
              <w:rPr>
                <w:rFonts w:eastAsia="Times New Roman" w:cstheme="minorHAnsi"/>
                <w:color w:val="000000"/>
                <w:sz w:val="24"/>
                <w:szCs w:val="24"/>
              </w:rPr>
            </w:pPr>
            <w:r>
              <w:rPr>
                <w:rFonts w:eastAsia="Times New Roman" w:cstheme="minorHAnsi"/>
                <w:color w:val="000000"/>
                <w:sz w:val="24"/>
                <w:szCs w:val="24"/>
              </w:rPr>
              <w:t>Interactive Complexity</w:t>
            </w:r>
          </w:p>
        </w:tc>
        <w:tc>
          <w:tcPr>
            <w:tcW w:w="1170" w:type="dxa"/>
            <w:tcBorders>
              <w:top w:val="single" w:sz="4" w:space="0" w:color="auto"/>
              <w:left w:val="nil"/>
              <w:bottom w:val="single" w:sz="4" w:space="0" w:color="auto"/>
              <w:right w:val="single" w:sz="4" w:space="0" w:color="auto"/>
            </w:tcBorders>
          </w:tcPr>
          <w:p w14:paraId="60B661A0" w14:textId="16C66FDA" w:rsidR="007549BE" w:rsidRPr="004A5165" w:rsidRDefault="007549BE" w:rsidP="00FB6408">
            <w:pPr>
              <w:spacing w:after="0" w:line="240" w:lineRule="auto"/>
              <w:jc w:val="center"/>
              <w:rPr>
                <w:rFonts w:eastAsia="Times New Roman" w:cstheme="minorHAnsi"/>
                <w:color w:val="00B050"/>
                <w:sz w:val="24"/>
                <w:szCs w:val="24"/>
              </w:rPr>
            </w:pPr>
            <w:r w:rsidRPr="007549BE">
              <w:rPr>
                <w:rFonts w:eastAsia="Times New Roman" w:cstheme="minorHAnsi"/>
                <w:color w:val="FF0000"/>
                <w:sz w:val="24"/>
                <w:szCs w:val="24"/>
              </w:rPr>
              <w:t>-10.2%</w:t>
            </w:r>
          </w:p>
        </w:tc>
        <w:tc>
          <w:tcPr>
            <w:tcW w:w="290" w:type="dxa"/>
            <w:vAlign w:val="bottom"/>
          </w:tcPr>
          <w:p w14:paraId="4FCC1935" w14:textId="77777777" w:rsidR="007549BE" w:rsidRPr="004A5165" w:rsidRDefault="007549BE" w:rsidP="00FB6408">
            <w:pPr>
              <w:jc w:val="center"/>
              <w:rPr>
                <w:rFonts w:eastAsia="Times New Roman" w:cstheme="minorHAnsi"/>
                <w:sz w:val="24"/>
                <w:szCs w:val="24"/>
              </w:rPr>
            </w:pPr>
          </w:p>
        </w:tc>
      </w:tr>
      <w:tr w:rsidR="00FB6408" w:rsidRPr="004A5165" w14:paraId="40B74672" w14:textId="77777777" w:rsidTr="002A402A">
        <w:trPr>
          <w:trHeight w:val="39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514D80" w14:textId="77777777" w:rsidR="00FB6408" w:rsidRPr="00B97BEC" w:rsidRDefault="00FB6408" w:rsidP="00FB6408">
            <w:pPr>
              <w:spacing w:after="0" w:line="240" w:lineRule="auto"/>
              <w:jc w:val="center"/>
              <w:rPr>
                <w:rFonts w:eastAsia="Times New Roman" w:cstheme="minorHAnsi"/>
                <w:color w:val="000000"/>
                <w:sz w:val="24"/>
                <w:szCs w:val="24"/>
              </w:rPr>
            </w:pPr>
            <w:r w:rsidRPr="00B97BEC">
              <w:rPr>
                <w:rFonts w:eastAsia="Times New Roman" w:cstheme="minorHAnsi"/>
                <w:color w:val="000000"/>
                <w:sz w:val="24"/>
                <w:szCs w:val="24"/>
              </w:rPr>
              <w:t>90791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D16FFEA" w14:textId="77777777" w:rsidR="00FB6408" w:rsidRPr="00B97BEC" w:rsidRDefault="00FB6408" w:rsidP="00FB6408">
            <w:pPr>
              <w:spacing w:after="0" w:line="240" w:lineRule="auto"/>
              <w:jc w:val="center"/>
              <w:rPr>
                <w:rFonts w:eastAsia="Times New Roman" w:cstheme="minorHAnsi"/>
                <w:color w:val="000000"/>
                <w:sz w:val="24"/>
                <w:szCs w:val="24"/>
              </w:rPr>
            </w:pPr>
            <w:r w:rsidRPr="00B97BEC">
              <w:rPr>
                <w:rFonts w:eastAsia="Times New Roman" w:cstheme="minorHAnsi"/>
                <w:color w:val="000000"/>
                <w:sz w:val="24"/>
                <w:szCs w:val="24"/>
              </w:rPr>
              <w:t>Psychiatric diagnostic evaluation</w:t>
            </w:r>
          </w:p>
        </w:tc>
        <w:tc>
          <w:tcPr>
            <w:tcW w:w="1170" w:type="dxa"/>
            <w:tcBorders>
              <w:top w:val="single" w:sz="4" w:space="0" w:color="auto"/>
              <w:left w:val="nil"/>
              <w:bottom w:val="single" w:sz="4" w:space="0" w:color="auto"/>
              <w:right w:val="single" w:sz="4" w:space="0" w:color="auto"/>
            </w:tcBorders>
          </w:tcPr>
          <w:p w14:paraId="06649ABD" w14:textId="77777777" w:rsidR="00FB6408" w:rsidRPr="004A5165" w:rsidRDefault="00FB6408" w:rsidP="00FB6408">
            <w:pPr>
              <w:spacing w:after="0" w:line="240" w:lineRule="auto"/>
              <w:jc w:val="center"/>
              <w:rPr>
                <w:rFonts w:eastAsia="Times New Roman" w:cstheme="minorHAnsi"/>
                <w:color w:val="00B050"/>
                <w:sz w:val="24"/>
                <w:szCs w:val="24"/>
              </w:rPr>
            </w:pPr>
            <w:r w:rsidRPr="004A5165">
              <w:rPr>
                <w:rFonts w:eastAsia="Times New Roman" w:cstheme="minorHAnsi"/>
                <w:color w:val="00B050"/>
                <w:sz w:val="24"/>
                <w:szCs w:val="24"/>
              </w:rPr>
              <w:t>15.7%</w:t>
            </w:r>
          </w:p>
        </w:tc>
        <w:tc>
          <w:tcPr>
            <w:tcW w:w="290" w:type="dxa"/>
            <w:vAlign w:val="bottom"/>
          </w:tcPr>
          <w:p w14:paraId="5C90F942" w14:textId="77777777" w:rsidR="00FB6408" w:rsidRPr="004A5165" w:rsidRDefault="00FB6408" w:rsidP="00FB6408">
            <w:pPr>
              <w:jc w:val="center"/>
              <w:rPr>
                <w:rFonts w:eastAsia="Times New Roman" w:cstheme="minorHAnsi"/>
                <w:sz w:val="24"/>
                <w:szCs w:val="24"/>
              </w:rPr>
            </w:pPr>
          </w:p>
        </w:tc>
      </w:tr>
      <w:tr w:rsidR="00FB6408" w:rsidRPr="004A5165" w14:paraId="03FDF5FC" w14:textId="77777777" w:rsidTr="002A402A">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2166BB7" w14:textId="77777777" w:rsidR="00FB6408" w:rsidRPr="00B97BEC" w:rsidRDefault="00FB6408" w:rsidP="00FB6408">
            <w:pPr>
              <w:spacing w:after="0" w:line="240" w:lineRule="auto"/>
              <w:jc w:val="center"/>
              <w:rPr>
                <w:rFonts w:eastAsia="Times New Roman" w:cstheme="minorHAnsi"/>
                <w:color w:val="000000"/>
                <w:sz w:val="24"/>
                <w:szCs w:val="24"/>
              </w:rPr>
            </w:pPr>
            <w:r w:rsidRPr="00B97BEC">
              <w:rPr>
                <w:rFonts w:eastAsia="Times New Roman" w:cstheme="minorHAnsi"/>
                <w:color w:val="000000"/>
                <w:sz w:val="24"/>
                <w:szCs w:val="24"/>
              </w:rPr>
              <w:t>90832</w:t>
            </w:r>
          </w:p>
        </w:tc>
        <w:tc>
          <w:tcPr>
            <w:tcW w:w="5245" w:type="dxa"/>
            <w:tcBorders>
              <w:top w:val="nil"/>
              <w:left w:val="nil"/>
              <w:bottom w:val="single" w:sz="4" w:space="0" w:color="auto"/>
              <w:right w:val="single" w:sz="4" w:space="0" w:color="auto"/>
            </w:tcBorders>
            <w:shd w:val="clear" w:color="auto" w:fill="auto"/>
            <w:vAlign w:val="center"/>
            <w:hideMark/>
          </w:tcPr>
          <w:p w14:paraId="412F1F53" w14:textId="77777777" w:rsidR="00FB6408" w:rsidRPr="00B97BEC" w:rsidRDefault="00FB6408" w:rsidP="00FB6408">
            <w:pPr>
              <w:spacing w:after="0" w:line="240" w:lineRule="auto"/>
              <w:jc w:val="center"/>
              <w:rPr>
                <w:rFonts w:eastAsia="Times New Roman" w:cstheme="minorHAnsi"/>
                <w:color w:val="000000"/>
                <w:sz w:val="24"/>
                <w:szCs w:val="24"/>
              </w:rPr>
            </w:pPr>
            <w:r w:rsidRPr="00B97BEC">
              <w:rPr>
                <w:rFonts w:eastAsia="Times New Roman" w:cstheme="minorHAnsi"/>
                <w:color w:val="000000"/>
                <w:sz w:val="24"/>
                <w:szCs w:val="24"/>
              </w:rPr>
              <w:t>Psychotherapy, 30 minutes with patient</w:t>
            </w:r>
          </w:p>
        </w:tc>
        <w:tc>
          <w:tcPr>
            <w:tcW w:w="1170" w:type="dxa"/>
            <w:tcBorders>
              <w:top w:val="nil"/>
              <w:left w:val="nil"/>
              <w:bottom w:val="single" w:sz="4" w:space="0" w:color="auto"/>
              <w:right w:val="single" w:sz="4" w:space="0" w:color="auto"/>
            </w:tcBorders>
          </w:tcPr>
          <w:p w14:paraId="47D196CF" w14:textId="77777777" w:rsidR="00FB6408" w:rsidRPr="004A5165" w:rsidRDefault="00FB6408" w:rsidP="00FB6408">
            <w:pPr>
              <w:spacing w:after="0" w:line="240" w:lineRule="auto"/>
              <w:jc w:val="center"/>
              <w:rPr>
                <w:rFonts w:eastAsia="Times New Roman" w:cstheme="minorHAnsi"/>
                <w:color w:val="00B050"/>
                <w:sz w:val="24"/>
                <w:szCs w:val="24"/>
              </w:rPr>
            </w:pPr>
            <w:r w:rsidRPr="004A5165">
              <w:rPr>
                <w:rFonts w:eastAsia="Times New Roman" w:cstheme="minorHAnsi"/>
                <w:color w:val="00B050"/>
                <w:sz w:val="24"/>
                <w:szCs w:val="24"/>
              </w:rPr>
              <w:t>3.0%</w:t>
            </w:r>
          </w:p>
        </w:tc>
        <w:tc>
          <w:tcPr>
            <w:tcW w:w="290" w:type="dxa"/>
            <w:vAlign w:val="bottom"/>
          </w:tcPr>
          <w:p w14:paraId="4E934D01" w14:textId="77777777" w:rsidR="00FB6408" w:rsidRPr="004A5165" w:rsidRDefault="00FB6408" w:rsidP="00FB6408">
            <w:pPr>
              <w:jc w:val="center"/>
              <w:rPr>
                <w:rFonts w:eastAsia="Times New Roman" w:cstheme="minorHAnsi"/>
                <w:sz w:val="24"/>
                <w:szCs w:val="24"/>
              </w:rPr>
            </w:pPr>
          </w:p>
        </w:tc>
      </w:tr>
      <w:tr w:rsidR="00FB6408" w:rsidRPr="004A5165" w14:paraId="7EA89D2A" w14:textId="77777777" w:rsidTr="002A402A">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0D27720" w14:textId="77777777" w:rsidR="00FB6408" w:rsidRPr="00B97BEC" w:rsidRDefault="00FB6408" w:rsidP="00FB6408">
            <w:pPr>
              <w:spacing w:after="0" w:line="240" w:lineRule="auto"/>
              <w:jc w:val="center"/>
              <w:rPr>
                <w:rFonts w:eastAsia="Times New Roman" w:cstheme="minorHAnsi"/>
                <w:color w:val="000000"/>
                <w:sz w:val="24"/>
                <w:szCs w:val="24"/>
              </w:rPr>
            </w:pPr>
            <w:r w:rsidRPr="00B97BEC">
              <w:rPr>
                <w:rFonts w:eastAsia="Times New Roman" w:cstheme="minorHAnsi"/>
                <w:color w:val="000000"/>
                <w:sz w:val="24"/>
                <w:szCs w:val="24"/>
              </w:rPr>
              <w:t>90834</w:t>
            </w:r>
          </w:p>
        </w:tc>
        <w:tc>
          <w:tcPr>
            <w:tcW w:w="5245" w:type="dxa"/>
            <w:tcBorders>
              <w:top w:val="nil"/>
              <w:left w:val="nil"/>
              <w:bottom w:val="single" w:sz="4" w:space="0" w:color="auto"/>
              <w:right w:val="single" w:sz="4" w:space="0" w:color="auto"/>
            </w:tcBorders>
            <w:shd w:val="clear" w:color="auto" w:fill="auto"/>
            <w:vAlign w:val="center"/>
            <w:hideMark/>
          </w:tcPr>
          <w:p w14:paraId="6530D167" w14:textId="77777777" w:rsidR="00FB6408" w:rsidRPr="00B97BEC" w:rsidRDefault="00FB6408" w:rsidP="00FB6408">
            <w:pPr>
              <w:spacing w:after="0" w:line="240" w:lineRule="auto"/>
              <w:jc w:val="center"/>
              <w:rPr>
                <w:rFonts w:eastAsia="Times New Roman" w:cstheme="minorHAnsi"/>
                <w:color w:val="000000"/>
                <w:sz w:val="24"/>
                <w:szCs w:val="24"/>
              </w:rPr>
            </w:pPr>
            <w:r w:rsidRPr="00B97BEC">
              <w:rPr>
                <w:rFonts w:eastAsia="Times New Roman" w:cstheme="minorHAnsi"/>
                <w:color w:val="000000"/>
                <w:sz w:val="24"/>
                <w:szCs w:val="24"/>
              </w:rPr>
              <w:t>Psychotherapy, 45 minutes with patient</w:t>
            </w:r>
          </w:p>
        </w:tc>
        <w:tc>
          <w:tcPr>
            <w:tcW w:w="1170" w:type="dxa"/>
            <w:tcBorders>
              <w:top w:val="nil"/>
              <w:left w:val="nil"/>
              <w:bottom w:val="single" w:sz="4" w:space="0" w:color="auto"/>
              <w:right w:val="single" w:sz="4" w:space="0" w:color="auto"/>
            </w:tcBorders>
          </w:tcPr>
          <w:p w14:paraId="1CDE40E6" w14:textId="77777777" w:rsidR="00FB6408" w:rsidRPr="004A5165" w:rsidRDefault="00FB6408" w:rsidP="00FB6408">
            <w:pPr>
              <w:spacing w:after="0" w:line="240" w:lineRule="auto"/>
              <w:jc w:val="center"/>
              <w:rPr>
                <w:rFonts w:eastAsia="Times New Roman" w:cstheme="minorHAnsi"/>
                <w:color w:val="00B050"/>
                <w:sz w:val="24"/>
                <w:szCs w:val="24"/>
              </w:rPr>
            </w:pPr>
            <w:r w:rsidRPr="004A5165">
              <w:rPr>
                <w:rFonts w:eastAsia="Times New Roman" w:cstheme="minorHAnsi"/>
                <w:color w:val="00B050"/>
                <w:sz w:val="24"/>
                <w:szCs w:val="24"/>
              </w:rPr>
              <w:t>1.5%</w:t>
            </w:r>
          </w:p>
        </w:tc>
        <w:tc>
          <w:tcPr>
            <w:tcW w:w="290" w:type="dxa"/>
            <w:vAlign w:val="bottom"/>
          </w:tcPr>
          <w:p w14:paraId="156C8149" w14:textId="77777777" w:rsidR="00FB6408" w:rsidRPr="004A5165" w:rsidRDefault="00FB6408" w:rsidP="00FB6408">
            <w:pPr>
              <w:jc w:val="center"/>
              <w:rPr>
                <w:rFonts w:eastAsia="Times New Roman" w:cstheme="minorHAnsi"/>
                <w:sz w:val="24"/>
                <w:szCs w:val="24"/>
              </w:rPr>
            </w:pPr>
          </w:p>
        </w:tc>
      </w:tr>
      <w:tr w:rsidR="00FB6408" w:rsidRPr="004A5165" w14:paraId="27338A4F" w14:textId="77777777" w:rsidTr="002A402A">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5A257AF" w14:textId="77777777" w:rsidR="00FB6408" w:rsidRPr="00B97BEC" w:rsidRDefault="00FB6408" w:rsidP="00FB6408">
            <w:pPr>
              <w:spacing w:after="0" w:line="240" w:lineRule="auto"/>
              <w:jc w:val="center"/>
              <w:rPr>
                <w:rFonts w:eastAsia="Times New Roman" w:cstheme="minorHAnsi"/>
                <w:color w:val="000000"/>
                <w:sz w:val="24"/>
                <w:szCs w:val="24"/>
              </w:rPr>
            </w:pPr>
            <w:r w:rsidRPr="00B97BEC">
              <w:rPr>
                <w:rFonts w:eastAsia="Times New Roman" w:cstheme="minorHAnsi"/>
                <w:color w:val="000000"/>
                <w:sz w:val="24"/>
                <w:szCs w:val="24"/>
              </w:rPr>
              <w:t>90837</w:t>
            </w:r>
          </w:p>
        </w:tc>
        <w:tc>
          <w:tcPr>
            <w:tcW w:w="5245" w:type="dxa"/>
            <w:tcBorders>
              <w:top w:val="nil"/>
              <w:left w:val="nil"/>
              <w:bottom w:val="single" w:sz="4" w:space="0" w:color="auto"/>
              <w:right w:val="single" w:sz="4" w:space="0" w:color="auto"/>
            </w:tcBorders>
            <w:shd w:val="clear" w:color="auto" w:fill="auto"/>
            <w:vAlign w:val="center"/>
            <w:hideMark/>
          </w:tcPr>
          <w:p w14:paraId="600A9F20" w14:textId="77777777" w:rsidR="00FB6408" w:rsidRPr="00B97BEC" w:rsidRDefault="00FB6408" w:rsidP="00FB6408">
            <w:pPr>
              <w:spacing w:after="0" w:line="240" w:lineRule="auto"/>
              <w:jc w:val="center"/>
              <w:rPr>
                <w:rFonts w:eastAsia="Times New Roman" w:cstheme="minorHAnsi"/>
                <w:color w:val="000000"/>
                <w:sz w:val="24"/>
                <w:szCs w:val="24"/>
              </w:rPr>
            </w:pPr>
            <w:r w:rsidRPr="00B97BEC">
              <w:rPr>
                <w:rFonts w:eastAsia="Times New Roman" w:cstheme="minorHAnsi"/>
                <w:color w:val="000000"/>
                <w:sz w:val="24"/>
                <w:szCs w:val="24"/>
              </w:rPr>
              <w:t>Psychotherapy, 60 minutes with patient</w:t>
            </w:r>
          </w:p>
        </w:tc>
        <w:tc>
          <w:tcPr>
            <w:tcW w:w="1170" w:type="dxa"/>
            <w:tcBorders>
              <w:top w:val="nil"/>
              <w:left w:val="nil"/>
              <w:bottom w:val="single" w:sz="4" w:space="0" w:color="auto"/>
              <w:right w:val="single" w:sz="4" w:space="0" w:color="auto"/>
            </w:tcBorders>
          </w:tcPr>
          <w:p w14:paraId="12878491" w14:textId="77777777" w:rsidR="00FB6408" w:rsidRPr="004A5165" w:rsidRDefault="00FB6408" w:rsidP="00FB6408">
            <w:pPr>
              <w:spacing w:after="0" w:line="240" w:lineRule="auto"/>
              <w:jc w:val="center"/>
              <w:rPr>
                <w:rFonts w:eastAsia="Times New Roman" w:cstheme="minorHAnsi"/>
                <w:color w:val="FF0000"/>
                <w:sz w:val="24"/>
                <w:szCs w:val="24"/>
              </w:rPr>
            </w:pPr>
            <w:r w:rsidRPr="004A5165">
              <w:rPr>
                <w:rFonts w:eastAsia="Times New Roman" w:cstheme="minorHAnsi"/>
                <w:color w:val="FF0000"/>
                <w:sz w:val="24"/>
                <w:szCs w:val="24"/>
              </w:rPr>
              <w:t>-0.1%</w:t>
            </w:r>
          </w:p>
        </w:tc>
        <w:tc>
          <w:tcPr>
            <w:tcW w:w="290" w:type="dxa"/>
            <w:vAlign w:val="bottom"/>
          </w:tcPr>
          <w:p w14:paraId="73F55E67" w14:textId="77777777" w:rsidR="00FB6408" w:rsidRPr="004A5165" w:rsidRDefault="00FB6408" w:rsidP="00FB6408">
            <w:pPr>
              <w:jc w:val="center"/>
              <w:rPr>
                <w:rFonts w:eastAsia="Times New Roman" w:cstheme="minorHAnsi"/>
                <w:sz w:val="24"/>
                <w:szCs w:val="24"/>
              </w:rPr>
            </w:pPr>
          </w:p>
        </w:tc>
      </w:tr>
      <w:tr w:rsidR="00FB6408" w:rsidRPr="004A5165" w14:paraId="434B9A1D" w14:textId="77777777" w:rsidTr="002A402A">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F4DB9F5" w14:textId="77777777" w:rsidR="00FB6408" w:rsidRPr="00B97BEC" w:rsidRDefault="00FB6408" w:rsidP="00FB6408">
            <w:pPr>
              <w:spacing w:after="0" w:line="240" w:lineRule="auto"/>
              <w:jc w:val="center"/>
              <w:rPr>
                <w:rFonts w:eastAsia="Times New Roman" w:cstheme="minorHAnsi"/>
                <w:color w:val="000000"/>
                <w:sz w:val="24"/>
                <w:szCs w:val="24"/>
              </w:rPr>
            </w:pPr>
            <w:r w:rsidRPr="00B97BEC">
              <w:rPr>
                <w:rFonts w:eastAsia="Times New Roman" w:cstheme="minorHAnsi"/>
                <w:color w:val="000000"/>
                <w:sz w:val="24"/>
                <w:szCs w:val="24"/>
              </w:rPr>
              <w:t>90839</w:t>
            </w:r>
          </w:p>
        </w:tc>
        <w:tc>
          <w:tcPr>
            <w:tcW w:w="5245" w:type="dxa"/>
            <w:tcBorders>
              <w:top w:val="nil"/>
              <w:left w:val="nil"/>
              <w:bottom w:val="single" w:sz="4" w:space="0" w:color="auto"/>
              <w:right w:val="single" w:sz="4" w:space="0" w:color="auto"/>
            </w:tcBorders>
            <w:shd w:val="clear" w:color="auto" w:fill="auto"/>
            <w:vAlign w:val="center"/>
            <w:hideMark/>
          </w:tcPr>
          <w:p w14:paraId="63E3F439" w14:textId="77777777" w:rsidR="00FB6408" w:rsidRPr="00B97BEC" w:rsidRDefault="00FB6408" w:rsidP="00FB6408">
            <w:pPr>
              <w:spacing w:after="0" w:line="240" w:lineRule="auto"/>
              <w:jc w:val="center"/>
              <w:rPr>
                <w:rFonts w:eastAsia="Times New Roman" w:cstheme="minorHAnsi"/>
                <w:color w:val="000000"/>
                <w:sz w:val="24"/>
                <w:szCs w:val="24"/>
              </w:rPr>
            </w:pPr>
            <w:r w:rsidRPr="00B97BEC">
              <w:rPr>
                <w:rFonts w:eastAsia="Times New Roman" w:cstheme="minorHAnsi"/>
                <w:color w:val="000000"/>
                <w:sz w:val="24"/>
                <w:szCs w:val="24"/>
              </w:rPr>
              <w:t>Psychotherapy for crisis; first 60 minutes</w:t>
            </w:r>
          </w:p>
        </w:tc>
        <w:tc>
          <w:tcPr>
            <w:tcW w:w="1170" w:type="dxa"/>
            <w:tcBorders>
              <w:top w:val="nil"/>
              <w:left w:val="nil"/>
              <w:bottom w:val="single" w:sz="4" w:space="0" w:color="auto"/>
              <w:right w:val="single" w:sz="4" w:space="0" w:color="auto"/>
            </w:tcBorders>
          </w:tcPr>
          <w:p w14:paraId="3B1D113D" w14:textId="77777777" w:rsidR="00FB6408" w:rsidRPr="004A5165" w:rsidRDefault="00FB6408" w:rsidP="00FB6408">
            <w:pPr>
              <w:spacing w:after="0" w:line="240" w:lineRule="auto"/>
              <w:jc w:val="center"/>
              <w:rPr>
                <w:rFonts w:eastAsia="Times New Roman" w:cstheme="minorHAnsi"/>
                <w:color w:val="FF0000"/>
                <w:sz w:val="24"/>
                <w:szCs w:val="24"/>
              </w:rPr>
            </w:pPr>
            <w:r w:rsidRPr="004A5165">
              <w:rPr>
                <w:rFonts w:eastAsia="Times New Roman" w:cstheme="minorHAnsi"/>
                <w:color w:val="FF0000"/>
                <w:sz w:val="24"/>
                <w:szCs w:val="24"/>
              </w:rPr>
              <w:t>-8.7%</w:t>
            </w:r>
          </w:p>
        </w:tc>
        <w:tc>
          <w:tcPr>
            <w:tcW w:w="290" w:type="dxa"/>
            <w:vAlign w:val="bottom"/>
          </w:tcPr>
          <w:p w14:paraId="652B2587" w14:textId="77777777" w:rsidR="00FB6408" w:rsidRPr="004A5165" w:rsidRDefault="00FB6408" w:rsidP="00FB6408">
            <w:pPr>
              <w:jc w:val="center"/>
              <w:rPr>
                <w:rFonts w:eastAsia="Times New Roman" w:cstheme="minorHAnsi"/>
                <w:sz w:val="24"/>
                <w:szCs w:val="24"/>
              </w:rPr>
            </w:pPr>
          </w:p>
        </w:tc>
      </w:tr>
      <w:tr w:rsidR="00FB6408" w:rsidRPr="004A5165" w14:paraId="5E0F6FF8" w14:textId="77777777" w:rsidTr="002A402A">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6641DDB" w14:textId="77777777" w:rsidR="00FB6408" w:rsidRPr="00B97BEC" w:rsidRDefault="00FB6408" w:rsidP="00FB6408">
            <w:pPr>
              <w:spacing w:after="0" w:line="240" w:lineRule="auto"/>
              <w:jc w:val="center"/>
              <w:rPr>
                <w:rFonts w:eastAsia="Times New Roman" w:cstheme="minorHAnsi"/>
                <w:color w:val="000000"/>
                <w:sz w:val="24"/>
                <w:szCs w:val="24"/>
              </w:rPr>
            </w:pPr>
            <w:r w:rsidRPr="00B97BEC">
              <w:rPr>
                <w:rFonts w:eastAsia="Times New Roman" w:cstheme="minorHAnsi"/>
                <w:color w:val="000000"/>
                <w:sz w:val="24"/>
                <w:szCs w:val="24"/>
              </w:rPr>
              <w:t>90840</w:t>
            </w:r>
          </w:p>
        </w:tc>
        <w:tc>
          <w:tcPr>
            <w:tcW w:w="5245" w:type="dxa"/>
            <w:tcBorders>
              <w:top w:val="nil"/>
              <w:left w:val="nil"/>
              <w:bottom w:val="single" w:sz="4" w:space="0" w:color="auto"/>
              <w:right w:val="single" w:sz="4" w:space="0" w:color="auto"/>
            </w:tcBorders>
            <w:shd w:val="clear" w:color="auto" w:fill="auto"/>
            <w:vAlign w:val="center"/>
            <w:hideMark/>
          </w:tcPr>
          <w:p w14:paraId="09DA33CD" w14:textId="77777777" w:rsidR="00FB6408" w:rsidRPr="00B97BEC" w:rsidRDefault="00FB6408" w:rsidP="00FB6408">
            <w:pPr>
              <w:spacing w:after="0" w:line="240" w:lineRule="auto"/>
              <w:jc w:val="center"/>
              <w:rPr>
                <w:rFonts w:eastAsia="Times New Roman" w:cstheme="minorHAnsi"/>
                <w:color w:val="000000"/>
                <w:sz w:val="24"/>
                <w:szCs w:val="24"/>
              </w:rPr>
            </w:pPr>
            <w:r w:rsidRPr="00B97BEC">
              <w:rPr>
                <w:rFonts w:eastAsia="Times New Roman" w:cstheme="minorHAnsi"/>
                <w:color w:val="000000"/>
                <w:sz w:val="24"/>
                <w:szCs w:val="24"/>
              </w:rPr>
              <w:t>Psychotherapy for crisis; each ad</w:t>
            </w:r>
            <w:r w:rsidRPr="004A5165">
              <w:rPr>
                <w:rFonts w:eastAsia="Times New Roman" w:cstheme="minorHAnsi"/>
                <w:color w:val="000000"/>
                <w:sz w:val="24"/>
                <w:szCs w:val="24"/>
              </w:rPr>
              <w:t>ditional</w:t>
            </w:r>
            <w:r w:rsidRPr="00B97BEC">
              <w:rPr>
                <w:rFonts w:eastAsia="Times New Roman" w:cstheme="minorHAnsi"/>
                <w:color w:val="000000"/>
                <w:sz w:val="24"/>
                <w:szCs w:val="24"/>
              </w:rPr>
              <w:t xml:space="preserve"> 30 mins</w:t>
            </w:r>
          </w:p>
        </w:tc>
        <w:tc>
          <w:tcPr>
            <w:tcW w:w="1170" w:type="dxa"/>
            <w:tcBorders>
              <w:top w:val="nil"/>
              <w:left w:val="nil"/>
              <w:bottom w:val="single" w:sz="4" w:space="0" w:color="auto"/>
              <w:right w:val="single" w:sz="4" w:space="0" w:color="auto"/>
            </w:tcBorders>
          </w:tcPr>
          <w:p w14:paraId="1301FFC4" w14:textId="77777777" w:rsidR="00FB6408" w:rsidRPr="004A5165" w:rsidRDefault="00FB6408" w:rsidP="00FB6408">
            <w:pPr>
              <w:spacing w:after="0" w:line="240" w:lineRule="auto"/>
              <w:jc w:val="center"/>
              <w:rPr>
                <w:rFonts w:eastAsia="Times New Roman" w:cstheme="minorHAnsi"/>
                <w:color w:val="FF0000"/>
                <w:sz w:val="24"/>
                <w:szCs w:val="24"/>
              </w:rPr>
            </w:pPr>
            <w:r w:rsidRPr="004A5165">
              <w:rPr>
                <w:rFonts w:eastAsia="Times New Roman" w:cstheme="minorHAnsi"/>
                <w:color w:val="FF0000"/>
                <w:sz w:val="24"/>
                <w:szCs w:val="24"/>
              </w:rPr>
              <w:t>-8.4%</w:t>
            </w:r>
          </w:p>
        </w:tc>
        <w:tc>
          <w:tcPr>
            <w:tcW w:w="290" w:type="dxa"/>
            <w:vAlign w:val="bottom"/>
          </w:tcPr>
          <w:p w14:paraId="4EBDAFD5" w14:textId="77777777" w:rsidR="00FB6408" w:rsidRPr="004A5165" w:rsidRDefault="00FB6408" w:rsidP="00FB6408">
            <w:pPr>
              <w:jc w:val="center"/>
              <w:rPr>
                <w:rFonts w:eastAsia="Times New Roman" w:cstheme="minorHAnsi"/>
                <w:sz w:val="24"/>
                <w:szCs w:val="24"/>
              </w:rPr>
            </w:pPr>
          </w:p>
        </w:tc>
      </w:tr>
      <w:tr w:rsidR="00FB6408" w:rsidRPr="004A5165" w14:paraId="0B0D7A10" w14:textId="77777777" w:rsidTr="002A402A">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1476506" w14:textId="77777777" w:rsidR="00FB6408" w:rsidRPr="00B97BEC" w:rsidRDefault="00FB6408" w:rsidP="00FB6408">
            <w:pPr>
              <w:spacing w:after="0" w:line="240" w:lineRule="auto"/>
              <w:jc w:val="center"/>
              <w:rPr>
                <w:rFonts w:eastAsia="Times New Roman" w:cstheme="minorHAnsi"/>
                <w:color w:val="000000"/>
                <w:sz w:val="24"/>
                <w:szCs w:val="24"/>
              </w:rPr>
            </w:pPr>
            <w:r w:rsidRPr="00B97BEC">
              <w:rPr>
                <w:rFonts w:eastAsia="Times New Roman" w:cstheme="minorHAnsi"/>
                <w:color w:val="000000"/>
                <w:sz w:val="24"/>
                <w:szCs w:val="24"/>
              </w:rPr>
              <w:t>90845</w:t>
            </w:r>
          </w:p>
        </w:tc>
        <w:tc>
          <w:tcPr>
            <w:tcW w:w="5245" w:type="dxa"/>
            <w:tcBorders>
              <w:top w:val="nil"/>
              <w:left w:val="nil"/>
              <w:bottom w:val="single" w:sz="4" w:space="0" w:color="auto"/>
              <w:right w:val="single" w:sz="4" w:space="0" w:color="auto"/>
            </w:tcBorders>
            <w:shd w:val="clear" w:color="auto" w:fill="auto"/>
            <w:vAlign w:val="center"/>
            <w:hideMark/>
          </w:tcPr>
          <w:p w14:paraId="7AFB482E" w14:textId="77777777" w:rsidR="00FB6408" w:rsidRPr="00B97BEC" w:rsidRDefault="00FB6408" w:rsidP="00FB6408">
            <w:pPr>
              <w:spacing w:after="0" w:line="240" w:lineRule="auto"/>
              <w:jc w:val="center"/>
              <w:rPr>
                <w:rFonts w:eastAsia="Times New Roman" w:cstheme="minorHAnsi"/>
                <w:color w:val="000000"/>
                <w:sz w:val="24"/>
                <w:szCs w:val="24"/>
              </w:rPr>
            </w:pPr>
            <w:r w:rsidRPr="00B97BEC">
              <w:rPr>
                <w:rFonts w:eastAsia="Times New Roman" w:cstheme="minorHAnsi"/>
                <w:color w:val="000000"/>
                <w:sz w:val="24"/>
                <w:szCs w:val="24"/>
              </w:rPr>
              <w:t>Psychoanalysis</w:t>
            </w:r>
          </w:p>
        </w:tc>
        <w:tc>
          <w:tcPr>
            <w:tcW w:w="1170" w:type="dxa"/>
            <w:tcBorders>
              <w:top w:val="nil"/>
              <w:left w:val="nil"/>
              <w:bottom w:val="single" w:sz="4" w:space="0" w:color="auto"/>
              <w:right w:val="single" w:sz="4" w:space="0" w:color="auto"/>
            </w:tcBorders>
          </w:tcPr>
          <w:p w14:paraId="150D04F9" w14:textId="77777777" w:rsidR="00FB6408" w:rsidRPr="004A5165" w:rsidRDefault="00FB6408" w:rsidP="00FB6408">
            <w:pPr>
              <w:spacing w:after="0" w:line="240" w:lineRule="auto"/>
              <w:jc w:val="center"/>
              <w:rPr>
                <w:rFonts w:eastAsia="Times New Roman" w:cstheme="minorHAnsi"/>
                <w:color w:val="FF0000"/>
                <w:sz w:val="24"/>
                <w:szCs w:val="24"/>
              </w:rPr>
            </w:pPr>
            <w:r w:rsidRPr="004A5165">
              <w:rPr>
                <w:rFonts w:eastAsia="Times New Roman" w:cstheme="minorHAnsi"/>
                <w:color w:val="FF0000"/>
                <w:sz w:val="24"/>
                <w:szCs w:val="24"/>
              </w:rPr>
              <w:t>-9.2%</w:t>
            </w:r>
          </w:p>
        </w:tc>
        <w:tc>
          <w:tcPr>
            <w:tcW w:w="290" w:type="dxa"/>
            <w:vAlign w:val="bottom"/>
          </w:tcPr>
          <w:p w14:paraId="2F848C77" w14:textId="77777777" w:rsidR="00FB6408" w:rsidRPr="004A5165" w:rsidRDefault="00FB6408" w:rsidP="00FB6408">
            <w:pPr>
              <w:jc w:val="center"/>
              <w:rPr>
                <w:rFonts w:eastAsia="Times New Roman" w:cstheme="minorHAnsi"/>
                <w:sz w:val="24"/>
                <w:szCs w:val="24"/>
              </w:rPr>
            </w:pPr>
          </w:p>
        </w:tc>
      </w:tr>
      <w:tr w:rsidR="00FB6408" w:rsidRPr="004A5165" w14:paraId="709598E7" w14:textId="77777777" w:rsidTr="002A402A">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F108092" w14:textId="77777777" w:rsidR="00FB6408" w:rsidRPr="00B97BEC" w:rsidRDefault="00FB6408" w:rsidP="00FB6408">
            <w:pPr>
              <w:spacing w:after="0" w:line="240" w:lineRule="auto"/>
              <w:jc w:val="center"/>
              <w:rPr>
                <w:rFonts w:eastAsia="Times New Roman" w:cstheme="minorHAnsi"/>
                <w:color w:val="000000"/>
                <w:sz w:val="24"/>
                <w:szCs w:val="24"/>
              </w:rPr>
            </w:pPr>
            <w:r w:rsidRPr="00B97BEC">
              <w:rPr>
                <w:rFonts w:eastAsia="Times New Roman" w:cstheme="minorHAnsi"/>
                <w:color w:val="000000"/>
                <w:sz w:val="24"/>
                <w:szCs w:val="24"/>
              </w:rPr>
              <w:t>90846</w:t>
            </w:r>
          </w:p>
        </w:tc>
        <w:tc>
          <w:tcPr>
            <w:tcW w:w="5245" w:type="dxa"/>
            <w:tcBorders>
              <w:top w:val="nil"/>
              <w:left w:val="nil"/>
              <w:bottom w:val="single" w:sz="4" w:space="0" w:color="auto"/>
              <w:right w:val="single" w:sz="4" w:space="0" w:color="auto"/>
            </w:tcBorders>
            <w:shd w:val="clear" w:color="auto" w:fill="auto"/>
            <w:vAlign w:val="center"/>
            <w:hideMark/>
          </w:tcPr>
          <w:p w14:paraId="572122D3" w14:textId="77777777" w:rsidR="00FB6408" w:rsidRPr="00B97BEC" w:rsidRDefault="00FB6408" w:rsidP="00FB6408">
            <w:pPr>
              <w:spacing w:after="0" w:line="240" w:lineRule="auto"/>
              <w:jc w:val="center"/>
              <w:rPr>
                <w:rFonts w:eastAsia="Times New Roman" w:cstheme="minorHAnsi"/>
                <w:color w:val="000000"/>
                <w:sz w:val="24"/>
                <w:szCs w:val="24"/>
              </w:rPr>
            </w:pPr>
            <w:r w:rsidRPr="00B97BEC">
              <w:rPr>
                <w:rFonts w:eastAsia="Times New Roman" w:cstheme="minorHAnsi"/>
                <w:color w:val="000000"/>
                <w:sz w:val="24"/>
                <w:szCs w:val="24"/>
              </w:rPr>
              <w:t>Family psychotherapy (without the patient present), 50 minutes</w:t>
            </w:r>
          </w:p>
        </w:tc>
        <w:tc>
          <w:tcPr>
            <w:tcW w:w="1170" w:type="dxa"/>
            <w:tcBorders>
              <w:top w:val="nil"/>
              <w:left w:val="nil"/>
              <w:bottom w:val="single" w:sz="4" w:space="0" w:color="auto"/>
              <w:right w:val="single" w:sz="4" w:space="0" w:color="auto"/>
            </w:tcBorders>
          </w:tcPr>
          <w:p w14:paraId="2D41E4ED" w14:textId="77777777" w:rsidR="00FB6408" w:rsidRPr="004A5165" w:rsidRDefault="00FB6408" w:rsidP="00FB6408">
            <w:pPr>
              <w:spacing w:after="0" w:line="240" w:lineRule="auto"/>
              <w:jc w:val="center"/>
              <w:rPr>
                <w:rFonts w:eastAsia="Times New Roman" w:cstheme="minorHAnsi"/>
                <w:color w:val="FF0000"/>
                <w:sz w:val="24"/>
                <w:szCs w:val="24"/>
              </w:rPr>
            </w:pPr>
            <w:r w:rsidRPr="004A5165">
              <w:rPr>
                <w:rFonts w:eastAsia="Times New Roman" w:cstheme="minorHAnsi"/>
                <w:color w:val="FF0000"/>
                <w:sz w:val="24"/>
                <w:szCs w:val="24"/>
              </w:rPr>
              <w:t>-11.1%</w:t>
            </w:r>
          </w:p>
        </w:tc>
        <w:tc>
          <w:tcPr>
            <w:tcW w:w="290" w:type="dxa"/>
            <w:vAlign w:val="bottom"/>
          </w:tcPr>
          <w:p w14:paraId="53F81DA1" w14:textId="77777777" w:rsidR="00FB6408" w:rsidRPr="004A5165" w:rsidRDefault="00FB6408" w:rsidP="00FB6408">
            <w:pPr>
              <w:jc w:val="center"/>
              <w:rPr>
                <w:rFonts w:eastAsia="Times New Roman" w:cstheme="minorHAnsi"/>
                <w:sz w:val="24"/>
                <w:szCs w:val="24"/>
              </w:rPr>
            </w:pPr>
          </w:p>
        </w:tc>
      </w:tr>
      <w:tr w:rsidR="00FB6408" w:rsidRPr="004A5165" w14:paraId="74F41F3A" w14:textId="77777777" w:rsidTr="002A402A">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617D9F1" w14:textId="77777777" w:rsidR="00FB6408" w:rsidRPr="00B97BEC" w:rsidRDefault="00FB6408" w:rsidP="00FB6408">
            <w:pPr>
              <w:spacing w:after="0" w:line="240" w:lineRule="auto"/>
              <w:jc w:val="center"/>
              <w:rPr>
                <w:rFonts w:eastAsia="Times New Roman" w:cstheme="minorHAnsi"/>
                <w:color w:val="000000"/>
                <w:sz w:val="24"/>
                <w:szCs w:val="24"/>
              </w:rPr>
            </w:pPr>
            <w:r w:rsidRPr="00B97BEC">
              <w:rPr>
                <w:rFonts w:eastAsia="Times New Roman" w:cstheme="minorHAnsi"/>
                <w:color w:val="000000"/>
                <w:sz w:val="24"/>
                <w:szCs w:val="24"/>
              </w:rPr>
              <w:t>90847</w:t>
            </w:r>
          </w:p>
        </w:tc>
        <w:tc>
          <w:tcPr>
            <w:tcW w:w="5245" w:type="dxa"/>
            <w:tcBorders>
              <w:top w:val="nil"/>
              <w:left w:val="nil"/>
              <w:bottom w:val="single" w:sz="4" w:space="0" w:color="auto"/>
              <w:right w:val="single" w:sz="4" w:space="0" w:color="auto"/>
            </w:tcBorders>
            <w:shd w:val="clear" w:color="auto" w:fill="auto"/>
            <w:vAlign w:val="center"/>
            <w:hideMark/>
          </w:tcPr>
          <w:p w14:paraId="4C10CE7D" w14:textId="77777777" w:rsidR="00FB6408" w:rsidRPr="00B97BEC" w:rsidRDefault="00FB6408" w:rsidP="00FB6408">
            <w:pPr>
              <w:spacing w:after="0" w:line="240" w:lineRule="auto"/>
              <w:jc w:val="center"/>
              <w:rPr>
                <w:rFonts w:eastAsia="Times New Roman" w:cstheme="minorHAnsi"/>
                <w:color w:val="000000"/>
                <w:sz w:val="24"/>
                <w:szCs w:val="24"/>
              </w:rPr>
            </w:pPr>
            <w:r w:rsidRPr="00B97BEC">
              <w:rPr>
                <w:rFonts w:eastAsia="Times New Roman" w:cstheme="minorHAnsi"/>
                <w:color w:val="000000"/>
                <w:sz w:val="24"/>
                <w:szCs w:val="24"/>
              </w:rPr>
              <w:t>Family psychotherapy (conjoint psychotherapy) (with patient present), 50 minutes</w:t>
            </w:r>
          </w:p>
        </w:tc>
        <w:tc>
          <w:tcPr>
            <w:tcW w:w="1170" w:type="dxa"/>
            <w:tcBorders>
              <w:top w:val="nil"/>
              <w:left w:val="nil"/>
              <w:bottom w:val="single" w:sz="4" w:space="0" w:color="auto"/>
              <w:right w:val="single" w:sz="4" w:space="0" w:color="auto"/>
            </w:tcBorders>
          </w:tcPr>
          <w:p w14:paraId="3BCE6661" w14:textId="77777777" w:rsidR="00FB6408" w:rsidRPr="004A5165" w:rsidRDefault="00FB6408" w:rsidP="00FB6408">
            <w:pPr>
              <w:spacing w:after="0" w:line="240" w:lineRule="auto"/>
              <w:jc w:val="center"/>
              <w:rPr>
                <w:rFonts w:eastAsia="Times New Roman" w:cstheme="minorHAnsi"/>
                <w:color w:val="FF0000"/>
                <w:sz w:val="24"/>
                <w:szCs w:val="24"/>
              </w:rPr>
            </w:pPr>
            <w:r w:rsidRPr="004A5165">
              <w:rPr>
                <w:rFonts w:eastAsia="Times New Roman" w:cstheme="minorHAnsi"/>
                <w:color w:val="FF0000"/>
                <w:sz w:val="24"/>
                <w:szCs w:val="24"/>
              </w:rPr>
              <w:t>-11.1%</w:t>
            </w:r>
          </w:p>
        </w:tc>
        <w:tc>
          <w:tcPr>
            <w:tcW w:w="290" w:type="dxa"/>
            <w:vAlign w:val="bottom"/>
          </w:tcPr>
          <w:p w14:paraId="783A7053" w14:textId="77777777" w:rsidR="00FB6408" w:rsidRPr="004A5165" w:rsidRDefault="00FB6408" w:rsidP="00FB6408">
            <w:pPr>
              <w:jc w:val="center"/>
              <w:rPr>
                <w:rFonts w:eastAsia="Times New Roman" w:cstheme="minorHAnsi"/>
                <w:sz w:val="24"/>
                <w:szCs w:val="24"/>
              </w:rPr>
            </w:pPr>
          </w:p>
        </w:tc>
      </w:tr>
      <w:tr w:rsidR="00FB6408" w:rsidRPr="004A5165" w14:paraId="494921DB" w14:textId="77777777" w:rsidTr="002A402A">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45EF6AB" w14:textId="77777777" w:rsidR="00FB6408" w:rsidRPr="00B97BEC" w:rsidRDefault="00FB6408" w:rsidP="00FB6408">
            <w:pPr>
              <w:spacing w:after="0" w:line="240" w:lineRule="auto"/>
              <w:jc w:val="center"/>
              <w:rPr>
                <w:rFonts w:eastAsia="Times New Roman" w:cstheme="minorHAnsi"/>
                <w:color w:val="000000"/>
                <w:sz w:val="24"/>
                <w:szCs w:val="24"/>
              </w:rPr>
            </w:pPr>
            <w:r w:rsidRPr="00B97BEC">
              <w:rPr>
                <w:rFonts w:eastAsia="Times New Roman" w:cstheme="minorHAnsi"/>
                <w:color w:val="000000"/>
                <w:sz w:val="24"/>
                <w:szCs w:val="24"/>
              </w:rPr>
              <w:t>90849</w:t>
            </w:r>
          </w:p>
        </w:tc>
        <w:tc>
          <w:tcPr>
            <w:tcW w:w="5245" w:type="dxa"/>
            <w:tcBorders>
              <w:top w:val="nil"/>
              <w:left w:val="nil"/>
              <w:bottom w:val="single" w:sz="4" w:space="0" w:color="auto"/>
              <w:right w:val="single" w:sz="4" w:space="0" w:color="auto"/>
            </w:tcBorders>
            <w:shd w:val="clear" w:color="auto" w:fill="auto"/>
            <w:vAlign w:val="center"/>
            <w:hideMark/>
          </w:tcPr>
          <w:p w14:paraId="5A29EF09" w14:textId="77777777" w:rsidR="00FB6408" w:rsidRPr="00B97BEC" w:rsidRDefault="00FB6408" w:rsidP="00FB6408">
            <w:pPr>
              <w:spacing w:after="0" w:line="240" w:lineRule="auto"/>
              <w:jc w:val="center"/>
              <w:rPr>
                <w:rFonts w:eastAsia="Times New Roman" w:cstheme="minorHAnsi"/>
                <w:color w:val="000000"/>
                <w:sz w:val="24"/>
                <w:szCs w:val="24"/>
              </w:rPr>
            </w:pPr>
            <w:r w:rsidRPr="00B97BEC">
              <w:rPr>
                <w:rFonts w:eastAsia="Times New Roman" w:cstheme="minorHAnsi"/>
                <w:color w:val="000000"/>
                <w:sz w:val="24"/>
                <w:szCs w:val="24"/>
              </w:rPr>
              <w:t>Multiple-family group psychotherapy</w:t>
            </w:r>
          </w:p>
        </w:tc>
        <w:tc>
          <w:tcPr>
            <w:tcW w:w="1170" w:type="dxa"/>
            <w:tcBorders>
              <w:top w:val="nil"/>
              <w:left w:val="nil"/>
              <w:bottom w:val="single" w:sz="4" w:space="0" w:color="auto"/>
              <w:right w:val="single" w:sz="4" w:space="0" w:color="auto"/>
            </w:tcBorders>
          </w:tcPr>
          <w:p w14:paraId="15C42236" w14:textId="77777777" w:rsidR="00FB6408" w:rsidRPr="004A5165" w:rsidRDefault="00FB6408" w:rsidP="00FB6408">
            <w:pPr>
              <w:spacing w:after="0" w:line="240" w:lineRule="auto"/>
              <w:jc w:val="center"/>
              <w:rPr>
                <w:rFonts w:eastAsia="Times New Roman" w:cstheme="minorHAnsi"/>
                <w:color w:val="FF0000"/>
                <w:sz w:val="24"/>
                <w:szCs w:val="24"/>
              </w:rPr>
            </w:pPr>
            <w:r w:rsidRPr="004A5165">
              <w:rPr>
                <w:rFonts w:eastAsia="Times New Roman" w:cstheme="minorHAnsi"/>
                <w:color w:val="FF0000"/>
                <w:sz w:val="24"/>
                <w:szCs w:val="24"/>
              </w:rPr>
              <w:t>-10.2%</w:t>
            </w:r>
          </w:p>
        </w:tc>
        <w:tc>
          <w:tcPr>
            <w:tcW w:w="290" w:type="dxa"/>
            <w:vAlign w:val="bottom"/>
          </w:tcPr>
          <w:p w14:paraId="20612159" w14:textId="77777777" w:rsidR="00FB6408" w:rsidRPr="004A5165" w:rsidRDefault="00FB6408" w:rsidP="00FB6408">
            <w:pPr>
              <w:jc w:val="center"/>
              <w:rPr>
                <w:rFonts w:eastAsia="Times New Roman" w:cstheme="minorHAnsi"/>
                <w:sz w:val="24"/>
                <w:szCs w:val="24"/>
              </w:rPr>
            </w:pPr>
          </w:p>
        </w:tc>
      </w:tr>
      <w:tr w:rsidR="007549BE" w:rsidRPr="004A5165" w14:paraId="15BB7D9C" w14:textId="77777777" w:rsidTr="002A402A">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tcPr>
          <w:p w14:paraId="6D53B6E9" w14:textId="4AF6E2F1" w:rsidR="007549BE" w:rsidRPr="00B97BEC" w:rsidRDefault="007549BE" w:rsidP="00FB6408">
            <w:pPr>
              <w:spacing w:after="0" w:line="240" w:lineRule="auto"/>
              <w:jc w:val="center"/>
              <w:rPr>
                <w:rFonts w:eastAsia="Times New Roman" w:cstheme="minorHAnsi"/>
                <w:color w:val="000000"/>
                <w:sz w:val="24"/>
                <w:szCs w:val="24"/>
              </w:rPr>
            </w:pPr>
            <w:r>
              <w:rPr>
                <w:rFonts w:eastAsia="Times New Roman" w:cstheme="minorHAnsi"/>
                <w:color w:val="000000"/>
                <w:sz w:val="24"/>
                <w:szCs w:val="24"/>
              </w:rPr>
              <w:t>90853</w:t>
            </w:r>
          </w:p>
        </w:tc>
        <w:tc>
          <w:tcPr>
            <w:tcW w:w="5245" w:type="dxa"/>
            <w:tcBorders>
              <w:top w:val="nil"/>
              <w:left w:val="nil"/>
              <w:bottom w:val="single" w:sz="4" w:space="0" w:color="auto"/>
              <w:right w:val="single" w:sz="4" w:space="0" w:color="auto"/>
            </w:tcBorders>
            <w:shd w:val="clear" w:color="auto" w:fill="auto"/>
            <w:vAlign w:val="center"/>
          </w:tcPr>
          <w:p w14:paraId="3F9D0806" w14:textId="5C76CD41" w:rsidR="007549BE" w:rsidRPr="00B97BEC" w:rsidRDefault="007549BE" w:rsidP="00FB6408">
            <w:pPr>
              <w:spacing w:after="0" w:line="240" w:lineRule="auto"/>
              <w:jc w:val="center"/>
              <w:rPr>
                <w:rFonts w:eastAsia="Times New Roman" w:cstheme="minorHAnsi"/>
                <w:color w:val="000000"/>
                <w:sz w:val="24"/>
                <w:szCs w:val="24"/>
              </w:rPr>
            </w:pPr>
            <w:r>
              <w:rPr>
                <w:rFonts w:eastAsia="Times New Roman" w:cstheme="minorHAnsi"/>
                <w:color w:val="000000"/>
                <w:sz w:val="24"/>
                <w:szCs w:val="24"/>
              </w:rPr>
              <w:t>Group psychotherapy</w:t>
            </w:r>
          </w:p>
        </w:tc>
        <w:tc>
          <w:tcPr>
            <w:tcW w:w="1170" w:type="dxa"/>
            <w:tcBorders>
              <w:top w:val="nil"/>
              <w:left w:val="nil"/>
              <w:bottom w:val="single" w:sz="4" w:space="0" w:color="auto"/>
              <w:right w:val="single" w:sz="4" w:space="0" w:color="auto"/>
            </w:tcBorders>
          </w:tcPr>
          <w:p w14:paraId="06499FEE" w14:textId="40AA15CA" w:rsidR="007549BE" w:rsidRPr="004A5165" w:rsidRDefault="007549BE" w:rsidP="00FB6408">
            <w:pPr>
              <w:spacing w:after="0" w:line="240" w:lineRule="auto"/>
              <w:jc w:val="center"/>
              <w:rPr>
                <w:rFonts w:eastAsia="Times New Roman" w:cstheme="minorHAnsi"/>
                <w:color w:val="FF0000"/>
                <w:sz w:val="24"/>
                <w:szCs w:val="24"/>
              </w:rPr>
            </w:pPr>
            <w:r>
              <w:rPr>
                <w:rFonts w:eastAsia="Times New Roman" w:cstheme="minorHAnsi"/>
                <w:color w:val="FF0000"/>
                <w:sz w:val="24"/>
                <w:szCs w:val="24"/>
              </w:rPr>
              <w:t>-9.0%</w:t>
            </w:r>
          </w:p>
        </w:tc>
        <w:tc>
          <w:tcPr>
            <w:tcW w:w="290" w:type="dxa"/>
            <w:vAlign w:val="bottom"/>
          </w:tcPr>
          <w:p w14:paraId="51892774" w14:textId="77777777" w:rsidR="007549BE" w:rsidRPr="004A5165" w:rsidRDefault="007549BE" w:rsidP="00FB6408">
            <w:pPr>
              <w:jc w:val="center"/>
              <w:rPr>
                <w:rFonts w:eastAsia="Times New Roman" w:cstheme="minorHAnsi"/>
                <w:sz w:val="24"/>
                <w:szCs w:val="24"/>
              </w:rPr>
            </w:pPr>
          </w:p>
        </w:tc>
      </w:tr>
      <w:tr w:rsidR="00FB6408" w:rsidRPr="004A5165" w14:paraId="1EE07FBD" w14:textId="77777777" w:rsidTr="002A402A">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5A4B630" w14:textId="0754FB84" w:rsidR="00FB6408" w:rsidRPr="00B97BEC" w:rsidRDefault="00FB6408" w:rsidP="00FB6408">
            <w:pPr>
              <w:spacing w:after="0" w:line="240" w:lineRule="auto"/>
              <w:jc w:val="center"/>
              <w:rPr>
                <w:rFonts w:eastAsia="Times New Roman" w:cstheme="minorHAnsi"/>
                <w:color w:val="000000"/>
                <w:sz w:val="24"/>
                <w:szCs w:val="24"/>
              </w:rPr>
            </w:pPr>
            <w:r w:rsidRPr="00B97BEC">
              <w:rPr>
                <w:rFonts w:eastAsia="Times New Roman" w:cstheme="minorHAnsi"/>
                <w:color w:val="000000"/>
                <w:sz w:val="24"/>
                <w:szCs w:val="24"/>
              </w:rPr>
              <w:t>908</w:t>
            </w:r>
            <w:r w:rsidR="007549BE">
              <w:rPr>
                <w:rFonts w:eastAsia="Times New Roman" w:cstheme="minorHAnsi"/>
                <w:color w:val="000000"/>
                <w:sz w:val="24"/>
                <w:szCs w:val="24"/>
              </w:rPr>
              <w:t>63</w:t>
            </w:r>
          </w:p>
        </w:tc>
        <w:tc>
          <w:tcPr>
            <w:tcW w:w="5245" w:type="dxa"/>
            <w:tcBorders>
              <w:top w:val="nil"/>
              <w:left w:val="nil"/>
              <w:bottom w:val="single" w:sz="4" w:space="0" w:color="auto"/>
              <w:right w:val="single" w:sz="4" w:space="0" w:color="auto"/>
            </w:tcBorders>
            <w:shd w:val="clear" w:color="auto" w:fill="auto"/>
            <w:vAlign w:val="center"/>
            <w:hideMark/>
          </w:tcPr>
          <w:p w14:paraId="6AEE0AEE" w14:textId="63B22B05" w:rsidR="00FB6408" w:rsidRPr="00B97BEC" w:rsidRDefault="007549BE" w:rsidP="00FB6408">
            <w:pPr>
              <w:spacing w:after="0" w:line="240" w:lineRule="auto"/>
              <w:jc w:val="center"/>
              <w:rPr>
                <w:rFonts w:eastAsia="Times New Roman" w:cstheme="minorHAnsi"/>
                <w:color w:val="000000"/>
                <w:sz w:val="24"/>
                <w:szCs w:val="24"/>
              </w:rPr>
            </w:pPr>
            <w:r>
              <w:rPr>
                <w:rFonts w:eastAsia="Times New Roman" w:cstheme="minorHAnsi"/>
                <w:color w:val="000000"/>
                <w:sz w:val="24"/>
                <w:szCs w:val="24"/>
              </w:rPr>
              <w:t>Pharmacologic management</w:t>
            </w:r>
          </w:p>
        </w:tc>
        <w:tc>
          <w:tcPr>
            <w:tcW w:w="1170" w:type="dxa"/>
            <w:tcBorders>
              <w:top w:val="nil"/>
              <w:left w:val="nil"/>
              <w:bottom w:val="single" w:sz="4" w:space="0" w:color="auto"/>
              <w:right w:val="single" w:sz="4" w:space="0" w:color="auto"/>
            </w:tcBorders>
          </w:tcPr>
          <w:p w14:paraId="49262ED7" w14:textId="0B0DCED1" w:rsidR="00FB6408" w:rsidRPr="004A5165" w:rsidRDefault="00FB6408" w:rsidP="00FB6408">
            <w:pPr>
              <w:spacing w:after="0" w:line="240" w:lineRule="auto"/>
              <w:jc w:val="center"/>
              <w:rPr>
                <w:rFonts w:eastAsia="Times New Roman" w:cstheme="minorHAnsi"/>
                <w:color w:val="FF0000"/>
                <w:sz w:val="24"/>
                <w:szCs w:val="24"/>
              </w:rPr>
            </w:pPr>
            <w:r w:rsidRPr="004A5165">
              <w:rPr>
                <w:rFonts w:eastAsia="Times New Roman" w:cstheme="minorHAnsi"/>
                <w:color w:val="FF0000"/>
                <w:sz w:val="24"/>
                <w:szCs w:val="24"/>
              </w:rPr>
              <w:t>-</w:t>
            </w:r>
            <w:r w:rsidR="007549BE">
              <w:rPr>
                <w:rFonts w:eastAsia="Times New Roman" w:cstheme="minorHAnsi"/>
                <w:color w:val="FF0000"/>
                <w:sz w:val="24"/>
                <w:szCs w:val="24"/>
              </w:rPr>
              <w:t>11.4%</w:t>
            </w:r>
          </w:p>
        </w:tc>
        <w:tc>
          <w:tcPr>
            <w:tcW w:w="290" w:type="dxa"/>
            <w:vAlign w:val="bottom"/>
          </w:tcPr>
          <w:p w14:paraId="58DFDAFA" w14:textId="77777777" w:rsidR="00FB6408" w:rsidRPr="004A5165" w:rsidRDefault="00FB6408" w:rsidP="00FB6408">
            <w:pPr>
              <w:jc w:val="center"/>
              <w:rPr>
                <w:rFonts w:eastAsia="Times New Roman" w:cstheme="minorHAnsi"/>
                <w:sz w:val="24"/>
                <w:szCs w:val="24"/>
              </w:rPr>
            </w:pPr>
          </w:p>
        </w:tc>
      </w:tr>
    </w:tbl>
    <w:p w14:paraId="2591441D" w14:textId="77777777" w:rsidR="00FB6408" w:rsidRPr="004A5165" w:rsidRDefault="00FB6408" w:rsidP="00FB6408">
      <w:pPr>
        <w:pStyle w:val="ListParagraph"/>
        <w:spacing w:after="0" w:line="240" w:lineRule="auto"/>
        <w:ind w:left="1440"/>
        <w:jc w:val="center"/>
        <w:rPr>
          <w:rFonts w:cstheme="minorHAnsi"/>
          <w:sz w:val="24"/>
          <w:szCs w:val="24"/>
        </w:rPr>
      </w:pPr>
    </w:p>
    <w:p w14:paraId="08193ACE" w14:textId="5E2B139F" w:rsidR="006A52A3" w:rsidRPr="00FB6408" w:rsidRDefault="006A52A3" w:rsidP="001076AE">
      <w:pPr>
        <w:spacing w:after="0" w:line="240" w:lineRule="auto"/>
        <w:rPr>
          <w:rFonts w:cstheme="minorHAnsi"/>
          <w:b/>
          <w:bCs/>
          <w:sz w:val="28"/>
          <w:szCs w:val="28"/>
        </w:rPr>
      </w:pPr>
      <w:bookmarkStart w:id="1" w:name="bookmark0"/>
      <w:bookmarkEnd w:id="0"/>
      <w:bookmarkEnd w:id="1"/>
      <w:r w:rsidRPr="00FB6408">
        <w:rPr>
          <w:rFonts w:cstheme="minorHAnsi"/>
          <w:b/>
          <w:bCs/>
          <w:sz w:val="28"/>
          <w:szCs w:val="28"/>
        </w:rPr>
        <w:t>Telehealth</w:t>
      </w:r>
    </w:p>
    <w:p w14:paraId="61077759" w14:textId="77777777" w:rsidR="00B717DB" w:rsidRPr="004A5165" w:rsidRDefault="00B717DB" w:rsidP="001076AE">
      <w:pPr>
        <w:spacing w:after="0" w:line="240" w:lineRule="auto"/>
        <w:rPr>
          <w:rFonts w:cstheme="minorHAnsi"/>
          <w:b/>
          <w:bCs/>
          <w:sz w:val="24"/>
          <w:szCs w:val="24"/>
        </w:rPr>
      </w:pPr>
    </w:p>
    <w:p w14:paraId="4AF1B7CB" w14:textId="2713DE46" w:rsidR="006A52A3" w:rsidRPr="004A5165" w:rsidRDefault="006A52A3" w:rsidP="001076AE">
      <w:pPr>
        <w:pStyle w:val="ListParagraph"/>
        <w:numPr>
          <w:ilvl w:val="0"/>
          <w:numId w:val="1"/>
        </w:numPr>
        <w:spacing w:after="0" w:line="240" w:lineRule="auto"/>
        <w:rPr>
          <w:rFonts w:cstheme="minorHAnsi"/>
          <w:b/>
          <w:bCs/>
          <w:sz w:val="24"/>
          <w:szCs w:val="24"/>
          <w:u w:val="single"/>
        </w:rPr>
      </w:pPr>
      <w:r w:rsidRPr="004A5165">
        <w:rPr>
          <w:rFonts w:cstheme="minorHAnsi"/>
          <w:sz w:val="24"/>
          <w:szCs w:val="24"/>
        </w:rPr>
        <w:t xml:space="preserve">Group Psychotherapy, 90853, has been added to the permanent </w:t>
      </w:r>
      <w:r w:rsidR="00431E2F" w:rsidRPr="004A5165">
        <w:rPr>
          <w:rFonts w:cstheme="minorHAnsi"/>
          <w:sz w:val="24"/>
          <w:szCs w:val="24"/>
        </w:rPr>
        <w:t xml:space="preserve">(category 1) </w:t>
      </w:r>
      <w:r w:rsidRPr="004A5165">
        <w:rPr>
          <w:rFonts w:cstheme="minorHAnsi"/>
          <w:sz w:val="24"/>
          <w:szCs w:val="24"/>
        </w:rPr>
        <w:t>list of telehealth psychiatric services.</w:t>
      </w:r>
      <w:r w:rsidR="00B402DE" w:rsidRPr="004A5165">
        <w:rPr>
          <w:rFonts w:cstheme="minorHAnsi"/>
          <w:sz w:val="24"/>
          <w:szCs w:val="24"/>
        </w:rPr>
        <w:t xml:space="preserve"> </w:t>
      </w:r>
    </w:p>
    <w:p w14:paraId="6122F722" w14:textId="77777777" w:rsidR="00601F4D" w:rsidRPr="004A5165" w:rsidRDefault="00601F4D" w:rsidP="001076AE">
      <w:pPr>
        <w:pStyle w:val="ListParagraph"/>
        <w:spacing w:after="0" w:line="240" w:lineRule="auto"/>
        <w:rPr>
          <w:rFonts w:cstheme="minorHAnsi"/>
          <w:b/>
          <w:bCs/>
          <w:sz w:val="24"/>
          <w:szCs w:val="24"/>
          <w:u w:val="single"/>
        </w:rPr>
      </w:pPr>
    </w:p>
    <w:p w14:paraId="5BA9EBD5" w14:textId="0CB420FD" w:rsidR="00601F4D" w:rsidRPr="004A5165" w:rsidRDefault="00601F4D" w:rsidP="001076AE">
      <w:pPr>
        <w:pStyle w:val="ListParagraph"/>
        <w:numPr>
          <w:ilvl w:val="0"/>
          <w:numId w:val="1"/>
        </w:numPr>
        <w:spacing w:after="0" w:line="240" w:lineRule="auto"/>
        <w:rPr>
          <w:rFonts w:cstheme="minorHAnsi"/>
          <w:b/>
          <w:bCs/>
          <w:sz w:val="24"/>
          <w:szCs w:val="24"/>
          <w:u w:val="single"/>
        </w:rPr>
      </w:pPr>
      <w:r w:rsidRPr="004A5165">
        <w:rPr>
          <w:rFonts w:cstheme="minorHAnsi"/>
          <w:sz w:val="24"/>
          <w:szCs w:val="24"/>
        </w:rPr>
        <w:t xml:space="preserve">The restriction on the use of telephones for telehealth services has been removed.  Telephones, such as smartphones, that fit the definition of “multimedia communications equipment </w:t>
      </w:r>
      <w:r w:rsidRPr="00600AE4">
        <w:rPr>
          <w:rFonts w:cstheme="minorHAnsi"/>
          <w:sz w:val="24"/>
          <w:szCs w:val="24"/>
        </w:rPr>
        <w:t>that includes audio and video equipment permitting</w:t>
      </w:r>
      <w:r w:rsidRPr="004A5165">
        <w:rPr>
          <w:rFonts w:cstheme="minorHAnsi"/>
          <w:sz w:val="24"/>
          <w:szCs w:val="24"/>
        </w:rPr>
        <w:t xml:space="preserve"> two-way, real-time interactive communication” may be used for Medicare telehealth services</w:t>
      </w:r>
      <w:r w:rsidR="00EE418A" w:rsidRPr="004A5165">
        <w:rPr>
          <w:rFonts w:cstheme="minorHAnsi"/>
          <w:sz w:val="24"/>
          <w:szCs w:val="24"/>
        </w:rPr>
        <w:t>. These can be used in addition to the previously permissible communication methods such as video conferencing.</w:t>
      </w:r>
    </w:p>
    <w:p w14:paraId="3624C11C" w14:textId="77777777" w:rsidR="006A52A3" w:rsidRPr="004A5165" w:rsidRDefault="006A52A3" w:rsidP="001076AE">
      <w:pPr>
        <w:spacing w:after="0" w:line="240" w:lineRule="auto"/>
        <w:rPr>
          <w:rFonts w:cstheme="minorHAnsi"/>
          <w:b/>
          <w:bCs/>
          <w:sz w:val="24"/>
          <w:szCs w:val="24"/>
          <w:u w:val="single"/>
        </w:rPr>
      </w:pPr>
    </w:p>
    <w:p w14:paraId="3E5A5C3E" w14:textId="032A4E60" w:rsidR="00BC51FF" w:rsidRPr="00BC51FF" w:rsidRDefault="00CC661A" w:rsidP="001076AE">
      <w:pPr>
        <w:pStyle w:val="ListParagraph"/>
        <w:numPr>
          <w:ilvl w:val="0"/>
          <w:numId w:val="1"/>
        </w:numPr>
        <w:spacing w:after="0" w:line="240" w:lineRule="auto"/>
        <w:rPr>
          <w:rFonts w:ascii="Calibri" w:hAnsi="Calibri" w:cs="Calibri"/>
          <w:b/>
          <w:bCs/>
          <w:sz w:val="24"/>
          <w:szCs w:val="24"/>
          <w:u w:val="single"/>
        </w:rPr>
      </w:pPr>
      <w:r w:rsidRPr="00BC51FF">
        <w:rPr>
          <w:rFonts w:ascii="Calibri" w:hAnsi="Calibri" w:cs="Calibri"/>
          <w:color w:val="000000"/>
          <w:sz w:val="23"/>
          <w:shd w:val="clear" w:color="auto" w:fill="FFFFFF"/>
        </w:rPr>
        <w:t xml:space="preserve">The use of audio-only telephones for telehealth services will not be eligible for payment after the expiration of the public health emergency (PHE) on </w:t>
      </w:r>
      <w:r w:rsidRPr="00BC51FF">
        <w:rPr>
          <w:rFonts w:cstheme="minorHAnsi"/>
          <w:color w:val="000000"/>
          <w:sz w:val="24"/>
          <w:szCs w:val="24"/>
          <w:shd w:val="clear" w:color="auto" w:fill="FFFFFF"/>
        </w:rPr>
        <w:t xml:space="preserve">January 20, 2021. </w:t>
      </w:r>
      <w:r w:rsidR="00BC51FF" w:rsidRPr="00BC51FF">
        <w:rPr>
          <w:rFonts w:cstheme="minorHAnsi"/>
          <w:sz w:val="24"/>
          <w:szCs w:val="24"/>
        </w:rPr>
        <w:t xml:space="preserve">CMS </w:t>
      </w:r>
      <w:r w:rsidR="00BC51FF" w:rsidRPr="00BC51FF">
        <w:rPr>
          <w:rFonts w:cstheme="minorHAnsi"/>
          <w:sz w:val="24"/>
          <w:szCs w:val="24"/>
        </w:rPr>
        <w:lastRenderedPageBreak/>
        <w:t xml:space="preserve">believes that it does not have the authority extend the current flexibility allowing the use of audio-only devices. </w:t>
      </w:r>
      <w:r w:rsidR="00BC51FF" w:rsidRPr="00BC51FF">
        <w:rPr>
          <w:rFonts w:cstheme="minorHAnsi"/>
          <w:color w:val="000000"/>
          <w:sz w:val="24"/>
          <w:szCs w:val="24"/>
          <w:shd w:val="clear" w:color="auto" w:fill="FFFFFF"/>
        </w:rPr>
        <w:t>The administration may extend the PHE and congressional lawmakers are working to waive this restriction. NASW continues</w:t>
      </w:r>
      <w:r w:rsidR="00BC51FF" w:rsidRPr="00BC51FF">
        <w:rPr>
          <w:rFonts w:ascii="Calibri" w:hAnsi="Calibri" w:cs="Calibri"/>
          <w:color w:val="000000"/>
          <w:sz w:val="23"/>
          <w:shd w:val="clear" w:color="auto" w:fill="FFFFFF"/>
        </w:rPr>
        <w:t xml:space="preserve"> to advocate for permanent audio-only telehealth.</w:t>
      </w:r>
    </w:p>
    <w:p w14:paraId="2B9184AD" w14:textId="77777777" w:rsidR="00BC51FF" w:rsidRPr="00BC51FF" w:rsidRDefault="00BC51FF" w:rsidP="00BC51FF">
      <w:pPr>
        <w:pStyle w:val="ListParagraph"/>
        <w:rPr>
          <w:rFonts w:cstheme="minorHAnsi"/>
          <w:sz w:val="24"/>
          <w:szCs w:val="24"/>
        </w:rPr>
      </w:pPr>
    </w:p>
    <w:p w14:paraId="4568B7B7" w14:textId="52028EF4" w:rsidR="006A52A3" w:rsidRPr="00260AFF" w:rsidRDefault="00BC51FF" w:rsidP="00A803BD">
      <w:pPr>
        <w:pStyle w:val="ListParagraph"/>
        <w:numPr>
          <w:ilvl w:val="0"/>
          <w:numId w:val="1"/>
        </w:numPr>
        <w:spacing w:after="0" w:line="240" w:lineRule="auto"/>
        <w:rPr>
          <w:rFonts w:cstheme="minorHAnsi"/>
          <w:b/>
          <w:bCs/>
          <w:sz w:val="24"/>
          <w:szCs w:val="24"/>
          <w:u w:val="single"/>
        </w:rPr>
      </w:pPr>
      <w:r w:rsidRPr="00260AFF">
        <w:rPr>
          <w:rFonts w:cstheme="minorHAnsi"/>
          <w:sz w:val="24"/>
          <w:szCs w:val="24"/>
        </w:rPr>
        <w:t xml:space="preserve">The geographic and originating site restrictions that were lifted during the PHE </w:t>
      </w:r>
      <w:r w:rsidR="00260AFF">
        <w:rPr>
          <w:rFonts w:cstheme="minorHAnsi"/>
          <w:sz w:val="24"/>
          <w:szCs w:val="24"/>
        </w:rPr>
        <w:t xml:space="preserve">(which enabled clients to, for example, receive telehealth services from their home) </w:t>
      </w:r>
      <w:r w:rsidRPr="00260AFF">
        <w:rPr>
          <w:rFonts w:cstheme="minorHAnsi"/>
          <w:sz w:val="24"/>
          <w:szCs w:val="24"/>
        </w:rPr>
        <w:t>were not extended beyond the expiration of the PHE. The</w:t>
      </w:r>
      <w:r w:rsidR="00260AFF">
        <w:rPr>
          <w:rFonts w:cstheme="minorHAnsi"/>
          <w:sz w:val="24"/>
          <w:szCs w:val="24"/>
        </w:rPr>
        <w:t xml:space="preserve"> site flexibilities </w:t>
      </w:r>
      <w:r w:rsidRPr="00260AFF">
        <w:rPr>
          <w:rFonts w:cstheme="minorHAnsi"/>
          <w:sz w:val="24"/>
          <w:szCs w:val="24"/>
        </w:rPr>
        <w:t xml:space="preserve">will </w:t>
      </w:r>
      <w:r w:rsidR="00260AFF" w:rsidRPr="00260AFF">
        <w:rPr>
          <w:rFonts w:cstheme="minorHAnsi"/>
          <w:sz w:val="24"/>
          <w:szCs w:val="24"/>
        </w:rPr>
        <w:t>conclude</w:t>
      </w:r>
      <w:r w:rsidRPr="00260AFF">
        <w:rPr>
          <w:rFonts w:cstheme="minorHAnsi"/>
          <w:sz w:val="24"/>
          <w:szCs w:val="24"/>
        </w:rPr>
        <w:t xml:space="preserve"> on January 20, 2021 at the </w:t>
      </w:r>
      <w:r w:rsidR="00260AFF" w:rsidRPr="00260AFF">
        <w:rPr>
          <w:rFonts w:cstheme="minorHAnsi"/>
          <w:sz w:val="24"/>
          <w:szCs w:val="24"/>
        </w:rPr>
        <w:t xml:space="preserve">end </w:t>
      </w:r>
      <w:r w:rsidRPr="00260AFF">
        <w:rPr>
          <w:rFonts w:cstheme="minorHAnsi"/>
          <w:sz w:val="24"/>
          <w:szCs w:val="24"/>
        </w:rPr>
        <w:t xml:space="preserve">of the PHE unless </w:t>
      </w:r>
      <w:r w:rsidR="00260AFF">
        <w:rPr>
          <w:rFonts w:cstheme="minorHAnsi"/>
          <w:sz w:val="24"/>
          <w:szCs w:val="24"/>
        </w:rPr>
        <w:t xml:space="preserve">the PHE is </w:t>
      </w:r>
      <w:r w:rsidRPr="00260AFF">
        <w:rPr>
          <w:rFonts w:cstheme="minorHAnsi"/>
          <w:sz w:val="24"/>
          <w:szCs w:val="24"/>
        </w:rPr>
        <w:t>extende</w:t>
      </w:r>
      <w:r w:rsidR="00260AFF">
        <w:rPr>
          <w:rFonts w:cstheme="minorHAnsi"/>
          <w:sz w:val="24"/>
          <w:szCs w:val="24"/>
        </w:rPr>
        <w:t>d or this restriction is removed permanently.</w:t>
      </w:r>
      <w:r w:rsidRPr="00260AFF">
        <w:rPr>
          <w:rFonts w:cstheme="minorHAnsi"/>
          <w:sz w:val="24"/>
          <w:szCs w:val="24"/>
        </w:rPr>
        <w:t xml:space="preserve"> </w:t>
      </w:r>
      <w:r w:rsidR="00601F4D" w:rsidRPr="00260AFF">
        <w:rPr>
          <w:rFonts w:cstheme="minorHAnsi"/>
          <w:sz w:val="24"/>
          <w:szCs w:val="24"/>
        </w:rPr>
        <w:t>NASW continues to advocate for</w:t>
      </w:r>
      <w:r w:rsidR="0022226E" w:rsidRPr="00260AFF">
        <w:rPr>
          <w:rFonts w:cstheme="minorHAnsi"/>
          <w:sz w:val="24"/>
          <w:szCs w:val="24"/>
        </w:rPr>
        <w:t xml:space="preserve"> the removal of geographic and originating site restrictions</w:t>
      </w:r>
      <w:r w:rsidR="00260AFF">
        <w:rPr>
          <w:rFonts w:cstheme="minorHAnsi"/>
          <w:sz w:val="24"/>
          <w:szCs w:val="24"/>
        </w:rPr>
        <w:t>.</w:t>
      </w:r>
    </w:p>
    <w:p w14:paraId="29534AE6" w14:textId="77777777" w:rsidR="00260AFF" w:rsidRPr="00260AFF" w:rsidRDefault="00260AFF" w:rsidP="00260AFF">
      <w:pPr>
        <w:spacing w:after="0" w:line="240" w:lineRule="auto"/>
        <w:rPr>
          <w:rFonts w:cstheme="minorHAnsi"/>
          <w:b/>
          <w:bCs/>
          <w:sz w:val="24"/>
          <w:szCs w:val="24"/>
          <w:u w:val="single"/>
        </w:rPr>
      </w:pPr>
    </w:p>
    <w:p w14:paraId="5D5CD21A" w14:textId="544A00E1" w:rsidR="006A52A3" w:rsidRPr="004A5165" w:rsidRDefault="00B402DE" w:rsidP="001076AE">
      <w:pPr>
        <w:pStyle w:val="ListParagraph"/>
        <w:numPr>
          <w:ilvl w:val="0"/>
          <w:numId w:val="1"/>
        </w:numPr>
        <w:spacing w:after="0" w:line="240" w:lineRule="auto"/>
        <w:rPr>
          <w:rFonts w:cstheme="minorHAnsi"/>
          <w:b/>
          <w:bCs/>
          <w:sz w:val="24"/>
          <w:szCs w:val="24"/>
          <w:u w:val="single"/>
        </w:rPr>
      </w:pPr>
      <w:r w:rsidRPr="004A5165">
        <w:rPr>
          <w:rFonts w:cstheme="minorHAnsi"/>
          <w:sz w:val="24"/>
          <w:szCs w:val="24"/>
        </w:rPr>
        <w:t>CSWs</w:t>
      </w:r>
      <w:r w:rsidR="00C54D21" w:rsidRPr="004A5165">
        <w:rPr>
          <w:rFonts w:cstheme="minorHAnsi"/>
          <w:sz w:val="24"/>
          <w:szCs w:val="24"/>
        </w:rPr>
        <w:t xml:space="preserve"> </w:t>
      </w:r>
      <w:r w:rsidR="00EB08D9" w:rsidRPr="004A5165">
        <w:rPr>
          <w:rFonts w:cstheme="minorHAnsi"/>
          <w:sz w:val="24"/>
          <w:szCs w:val="24"/>
        </w:rPr>
        <w:t>may</w:t>
      </w:r>
      <w:r w:rsidR="006A52A3" w:rsidRPr="004A5165">
        <w:rPr>
          <w:rFonts w:cstheme="minorHAnsi"/>
          <w:sz w:val="24"/>
          <w:szCs w:val="24"/>
        </w:rPr>
        <w:t xml:space="preserve"> furnish brief online assessment and management services, remote evaluation services, and virtual check-in services. </w:t>
      </w:r>
      <w:r w:rsidR="00601F4D" w:rsidRPr="004A5165">
        <w:rPr>
          <w:rFonts w:cstheme="minorHAnsi"/>
          <w:sz w:val="24"/>
          <w:szCs w:val="24"/>
        </w:rPr>
        <w:t>This is a permanent policy change.</w:t>
      </w:r>
      <w:r w:rsidR="006A52A3" w:rsidRPr="004A5165">
        <w:rPr>
          <w:rFonts w:cstheme="minorHAnsi"/>
          <w:sz w:val="24"/>
          <w:szCs w:val="24"/>
        </w:rPr>
        <w:t xml:space="preserve"> To identify these services, CSWs may use HCPCS codes G2061- 5 to 10 minutes, G2062 – 11 to 20 minutes, and G2063 – 21 minutes or more. These services must be performed through a digital platform such as a patient portal. HCPCS code G2261 is used for telephone assessments and is used for 5-10 minutes.</w:t>
      </w:r>
    </w:p>
    <w:p w14:paraId="4CF51B7E" w14:textId="77777777" w:rsidR="006A52A3" w:rsidRPr="004A5165" w:rsidRDefault="006A52A3" w:rsidP="001076AE">
      <w:pPr>
        <w:pStyle w:val="ListParagraph"/>
        <w:spacing w:after="0" w:line="240" w:lineRule="auto"/>
        <w:rPr>
          <w:rFonts w:cstheme="minorHAnsi"/>
          <w:b/>
          <w:bCs/>
          <w:sz w:val="24"/>
          <w:szCs w:val="24"/>
          <w:u w:val="single"/>
        </w:rPr>
      </w:pPr>
    </w:p>
    <w:p w14:paraId="31613F9F" w14:textId="0D3E67C3" w:rsidR="006A52A3" w:rsidRPr="004A5165" w:rsidRDefault="00347FB6" w:rsidP="001076AE">
      <w:pPr>
        <w:pStyle w:val="ListParagraph"/>
        <w:numPr>
          <w:ilvl w:val="0"/>
          <w:numId w:val="1"/>
        </w:numPr>
        <w:spacing w:after="0" w:line="240" w:lineRule="auto"/>
        <w:rPr>
          <w:rFonts w:cstheme="minorHAnsi"/>
          <w:b/>
          <w:bCs/>
          <w:sz w:val="24"/>
          <w:szCs w:val="24"/>
          <w:u w:val="single"/>
        </w:rPr>
      </w:pPr>
      <w:bookmarkStart w:id="2" w:name="_Hlk58948319"/>
      <w:r w:rsidRPr="004A5165">
        <w:rPr>
          <w:rFonts w:cstheme="minorHAnsi"/>
          <w:sz w:val="24"/>
          <w:szCs w:val="24"/>
        </w:rPr>
        <w:t>S</w:t>
      </w:r>
      <w:r w:rsidR="006A52A3" w:rsidRPr="004A5165">
        <w:rPr>
          <w:rFonts w:cstheme="minorHAnsi"/>
          <w:sz w:val="24"/>
          <w:szCs w:val="24"/>
        </w:rPr>
        <w:t xml:space="preserve">ubsequent nursing facility visits </w:t>
      </w:r>
      <w:r w:rsidRPr="004A5165">
        <w:rPr>
          <w:rFonts w:cstheme="minorHAnsi"/>
          <w:sz w:val="24"/>
          <w:szCs w:val="24"/>
        </w:rPr>
        <w:t>are now limited to</w:t>
      </w:r>
      <w:r w:rsidR="00C54D21" w:rsidRPr="004A5165">
        <w:rPr>
          <w:rFonts w:cstheme="minorHAnsi"/>
          <w:sz w:val="24"/>
          <w:szCs w:val="24"/>
        </w:rPr>
        <w:t xml:space="preserve"> </w:t>
      </w:r>
      <w:r w:rsidR="006A52A3" w:rsidRPr="004A5165">
        <w:rPr>
          <w:rFonts w:cstheme="minorHAnsi"/>
          <w:sz w:val="24"/>
          <w:szCs w:val="24"/>
        </w:rPr>
        <w:t>one Medicare telehealth visit every 14 days</w:t>
      </w:r>
      <w:r w:rsidRPr="004A5165">
        <w:rPr>
          <w:rFonts w:cstheme="minorHAnsi"/>
          <w:sz w:val="24"/>
          <w:szCs w:val="24"/>
        </w:rPr>
        <w:t xml:space="preserve">, instead of once every three (3) days.  </w:t>
      </w:r>
    </w:p>
    <w:p w14:paraId="0A107502" w14:textId="77777777" w:rsidR="001076AE" w:rsidRPr="004A5165" w:rsidRDefault="001076AE" w:rsidP="001076AE">
      <w:pPr>
        <w:spacing w:after="0" w:line="240" w:lineRule="auto"/>
        <w:rPr>
          <w:rFonts w:cstheme="minorHAnsi"/>
          <w:b/>
          <w:bCs/>
          <w:sz w:val="24"/>
          <w:szCs w:val="24"/>
          <w:u w:val="single"/>
        </w:rPr>
      </w:pPr>
    </w:p>
    <w:p w14:paraId="7AD2934B" w14:textId="465F538E" w:rsidR="006A52A3" w:rsidRPr="004A5165" w:rsidRDefault="00347FB6" w:rsidP="001076AE">
      <w:pPr>
        <w:pStyle w:val="ListParagraph"/>
        <w:numPr>
          <w:ilvl w:val="0"/>
          <w:numId w:val="1"/>
        </w:numPr>
        <w:spacing w:after="0" w:line="240" w:lineRule="auto"/>
        <w:rPr>
          <w:rFonts w:cstheme="minorHAnsi"/>
          <w:b/>
          <w:bCs/>
          <w:sz w:val="24"/>
          <w:szCs w:val="24"/>
          <w:u w:val="single"/>
        </w:rPr>
      </w:pPr>
      <w:r w:rsidRPr="004A5165">
        <w:rPr>
          <w:rFonts w:cstheme="minorHAnsi"/>
          <w:sz w:val="24"/>
          <w:szCs w:val="24"/>
        </w:rPr>
        <w:t>The</w:t>
      </w:r>
      <w:r w:rsidR="001076AE" w:rsidRPr="004A5165">
        <w:rPr>
          <w:rFonts w:cstheme="minorHAnsi"/>
          <w:sz w:val="24"/>
          <w:szCs w:val="24"/>
        </w:rPr>
        <w:t xml:space="preserve"> </w:t>
      </w:r>
      <w:r w:rsidR="006A52A3" w:rsidRPr="004A5165">
        <w:rPr>
          <w:rFonts w:cstheme="minorHAnsi"/>
          <w:sz w:val="24"/>
          <w:szCs w:val="24"/>
        </w:rPr>
        <w:t>in-person requirement in the Medicare Diabetes Prevention Program (MDPP)</w:t>
      </w:r>
      <w:r w:rsidRPr="004A5165">
        <w:rPr>
          <w:rFonts w:cstheme="minorHAnsi"/>
          <w:sz w:val="24"/>
          <w:szCs w:val="24"/>
        </w:rPr>
        <w:t xml:space="preserve"> has been eliminated</w:t>
      </w:r>
      <w:r w:rsidR="006A52A3" w:rsidRPr="004A5165">
        <w:rPr>
          <w:rFonts w:cstheme="minorHAnsi"/>
          <w:sz w:val="24"/>
          <w:szCs w:val="24"/>
        </w:rPr>
        <w:t>. During the PHE, all MDPP services can be delivered virtually</w:t>
      </w:r>
      <w:r w:rsidR="00B402DE" w:rsidRPr="004A5165">
        <w:rPr>
          <w:rFonts w:cstheme="minorHAnsi"/>
          <w:sz w:val="24"/>
          <w:szCs w:val="24"/>
        </w:rPr>
        <w:t>.</w:t>
      </w:r>
    </w:p>
    <w:bookmarkEnd w:id="2"/>
    <w:p w14:paraId="7B69B0F5" w14:textId="77777777" w:rsidR="006A52A3" w:rsidRPr="004A5165" w:rsidRDefault="006A52A3" w:rsidP="001076AE">
      <w:pPr>
        <w:pStyle w:val="ListParagraph"/>
        <w:spacing w:after="0" w:line="240" w:lineRule="auto"/>
        <w:rPr>
          <w:rFonts w:cstheme="minorHAnsi"/>
          <w:b/>
          <w:bCs/>
          <w:sz w:val="24"/>
          <w:szCs w:val="24"/>
          <w:u w:val="single"/>
        </w:rPr>
      </w:pPr>
    </w:p>
    <w:p w14:paraId="20B6AC01" w14:textId="13A28521" w:rsidR="006A52A3" w:rsidRPr="004A5165" w:rsidRDefault="006A52A3" w:rsidP="001076AE">
      <w:pPr>
        <w:pStyle w:val="ListParagraph"/>
        <w:numPr>
          <w:ilvl w:val="0"/>
          <w:numId w:val="1"/>
        </w:numPr>
        <w:spacing w:after="0" w:line="240" w:lineRule="auto"/>
        <w:rPr>
          <w:rFonts w:cstheme="minorHAnsi"/>
          <w:b/>
          <w:bCs/>
          <w:sz w:val="24"/>
          <w:szCs w:val="24"/>
          <w:u w:val="single"/>
        </w:rPr>
      </w:pPr>
      <w:r w:rsidRPr="004A5165">
        <w:rPr>
          <w:rFonts w:cstheme="minorHAnsi"/>
          <w:sz w:val="24"/>
          <w:szCs w:val="24"/>
        </w:rPr>
        <w:t xml:space="preserve">MDPP suppliers </w:t>
      </w:r>
      <w:r w:rsidR="00347FB6" w:rsidRPr="004A5165">
        <w:rPr>
          <w:rFonts w:cstheme="minorHAnsi"/>
          <w:sz w:val="24"/>
          <w:szCs w:val="24"/>
        </w:rPr>
        <w:t>may</w:t>
      </w:r>
      <w:r w:rsidR="001076AE" w:rsidRPr="004A5165">
        <w:rPr>
          <w:rFonts w:cstheme="minorHAnsi"/>
          <w:sz w:val="24"/>
          <w:szCs w:val="24"/>
        </w:rPr>
        <w:t xml:space="preserve"> </w:t>
      </w:r>
      <w:r w:rsidRPr="004A5165">
        <w:rPr>
          <w:rFonts w:cstheme="minorHAnsi"/>
          <w:sz w:val="24"/>
          <w:szCs w:val="24"/>
        </w:rPr>
        <w:t>accept self-reported MDPP beneficiary weight measurements via a photograph of the beneficiary’s digital scale.</w:t>
      </w:r>
    </w:p>
    <w:p w14:paraId="3A695E81" w14:textId="77777777" w:rsidR="006A52A3" w:rsidRPr="004A5165" w:rsidRDefault="006A52A3" w:rsidP="001076AE">
      <w:pPr>
        <w:pStyle w:val="ListParagraph"/>
        <w:spacing w:after="0" w:line="240" w:lineRule="auto"/>
        <w:rPr>
          <w:rFonts w:cstheme="minorHAnsi"/>
          <w:sz w:val="24"/>
          <w:szCs w:val="24"/>
        </w:rPr>
      </w:pPr>
    </w:p>
    <w:p w14:paraId="775B4BC8" w14:textId="77777777" w:rsidR="006A52A3" w:rsidRPr="00FB6408" w:rsidRDefault="006A52A3" w:rsidP="001076AE">
      <w:pPr>
        <w:spacing w:after="0" w:line="240" w:lineRule="auto"/>
        <w:rPr>
          <w:rFonts w:cstheme="minorHAnsi"/>
          <w:b/>
          <w:bCs/>
          <w:sz w:val="28"/>
          <w:szCs w:val="28"/>
        </w:rPr>
      </w:pPr>
      <w:bookmarkStart w:id="3" w:name="_Hlk58948527"/>
      <w:r w:rsidRPr="00FB6408">
        <w:rPr>
          <w:rFonts w:cstheme="minorHAnsi"/>
          <w:b/>
          <w:bCs/>
          <w:sz w:val="28"/>
          <w:szCs w:val="28"/>
        </w:rPr>
        <w:t>Practice Expense for Personal Protective Equipment</w:t>
      </w:r>
    </w:p>
    <w:p w14:paraId="04773E75" w14:textId="77777777" w:rsidR="006A52A3" w:rsidRPr="00FB6408" w:rsidRDefault="006A52A3" w:rsidP="001076AE">
      <w:pPr>
        <w:spacing w:after="0" w:line="240" w:lineRule="auto"/>
        <w:rPr>
          <w:rFonts w:cstheme="minorHAnsi"/>
          <w:b/>
          <w:bCs/>
          <w:sz w:val="28"/>
          <w:szCs w:val="28"/>
          <w:u w:val="single"/>
        </w:rPr>
      </w:pPr>
    </w:p>
    <w:p w14:paraId="6DA3B949" w14:textId="6F7C76B9" w:rsidR="006A52A3" w:rsidRPr="00FB6408" w:rsidRDefault="00347FB6" w:rsidP="00FB6408">
      <w:pPr>
        <w:spacing w:after="0" w:line="240" w:lineRule="auto"/>
        <w:rPr>
          <w:rFonts w:cstheme="minorHAnsi"/>
          <w:sz w:val="24"/>
          <w:szCs w:val="24"/>
          <w:u w:val="single"/>
        </w:rPr>
      </w:pPr>
      <w:r w:rsidRPr="00FB6408">
        <w:rPr>
          <w:rFonts w:cstheme="minorHAnsi"/>
          <w:sz w:val="24"/>
          <w:szCs w:val="24"/>
        </w:rPr>
        <w:t>S</w:t>
      </w:r>
      <w:r w:rsidR="006A52A3" w:rsidRPr="00FB6408">
        <w:rPr>
          <w:rFonts w:cstheme="minorHAnsi"/>
          <w:sz w:val="24"/>
          <w:szCs w:val="24"/>
        </w:rPr>
        <w:t>upply pricing increases for surgical masks and face shields that are bundled into some office-based procedure codes</w:t>
      </w:r>
      <w:r w:rsidRPr="00FB6408">
        <w:rPr>
          <w:rFonts w:cstheme="minorHAnsi"/>
          <w:sz w:val="24"/>
          <w:szCs w:val="24"/>
        </w:rPr>
        <w:t xml:space="preserve"> are being implemented on an interim rule basis</w:t>
      </w:r>
      <w:r w:rsidR="006A52A3" w:rsidRPr="00FB6408">
        <w:rPr>
          <w:rFonts w:cstheme="minorHAnsi"/>
          <w:sz w:val="24"/>
          <w:szCs w:val="24"/>
        </w:rPr>
        <w:t>. CMS is seeking comments on this interim final policy on how to account for services that do not include these specific PPE items but for which there are increased costs which may include psychiatric services.</w:t>
      </w:r>
    </w:p>
    <w:p w14:paraId="3D081ADC" w14:textId="1AD42CE8" w:rsidR="006A52A3" w:rsidRDefault="006A52A3" w:rsidP="001076AE">
      <w:pPr>
        <w:spacing w:after="0" w:line="240" w:lineRule="auto"/>
        <w:rPr>
          <w:rFonts w:cstheme="minorHAnsi"/>
          <w:sz w:val="24"/>
          <w:szCs w:val="24"/>
          <w:u w:val="single"/>
        </w:rPr>
      </w:pPr>
    </w:p>
    <w:p w14:paraId="7AFB2EC7" w14:textId="6B554106" w:rsidR="006A52A3" w:rsidRPr="00FB6408" w:rsidRDefault="006A52A3" w:rsidP="001076AE">
      <w:pPr>
        <w:spacing w:after="0" w:line="240" w:lineRule="auto"/>
        <w:rPr>
          <w:rFonts w:cstheme="minorHAnsi"/>
          <w:b/>
          <w:bCs/>
          <w:sz w:val="28"/>
          <w:szCs w:val="28"/>
        </w:rPr>
      </w:pPr>
      <w:r w:rsidRPr="00FB6408">
        <w:rPr>
          <w:rFonts w:cstheme="minorHAnsi"/>
          <w:b/>
          <w:bCs/>
          <w:sz w:val="28"/>
          <w:szCs w:val="28"/>
        </w:rPr>
        <w:t>Substance Use Disorder</w:t>
      </w:r>
      <w:r w:rsidR="00B402DE" w:rsidRPr="00FB6408">
        <w:rPr>
          <w:rFonts w:cstheme="minorHAnsi"/>
          <w:b/>
          <w:bCs/>
          <w:sz w:val="28"/>
          <w:szCs w:val="28"/>
        </w:rPr>
        <w:t xml:space="preserve"> Treatment</w:t>
      </w:r>
    </w:p>
    <w:p w14:paraId="40AC7106" w14:textId="77777777" w:rsidR="00B717DB" w:rsidRPr="004A5165" w:rsidRDefault="00B717DB" w:rsidP="001076AE">
      <w:pPr>
        <w:spacing w:after="0" w:line="240" w:lineRule="auto"/>
        <w:rPr>
          <w:rFonts w:cstheme="minorHAnsi"/>
          <w:b/>
          <w:bCs/>
          <w:sz w:val="24"/>
          <w:szCs w:val="24"/>
        </w:rPr>
      </w:pPr>
    </w:p>
    <w:p w14:paraId="113E85BA" w14:textId="0062B32C" w:rsidR="006A52A3" w:rsidRPr="00FB6408" w:rsidRDefault="00FB6408" w:rsidP="00FB6408">
      <w:pPr>
        <w:spacing w:after="0" w:line="240" w:lineRule="auto"/>
        <w:rPr>
          <w:rFonts w:cstheme="minorHAnsi"/>
          <w:sz w:val="24"/>
          <w:szCs w:val="24"/>
        </w:rPr>
      </w:pPr>
      <w:r>
        <w:rPr>
          <w:rFonts w:cstheme="minorHAnsi"/>
          <w:sz w:val="24"/>
          <w:szCs w:val="24"/>
        </w:rPr>
        <w:t xml:space="preserve">Naloxone </w:t>
      </w:r>
      <w:r w:rsidR="00347FB6" w:rsidRPr="00FB6408">
        <w:rPr>
          <w:rFonts w:cstheme="minorHAnsi"/>
          <w:sz w:val="24"/>
          <w:szCs w:val="24"/>
        </w:rPr>
        <w:t xml:space="preserve">has been added </w:t>
      </w:r>
      <w:r w:rsidR="006A52A3" w:rsidRPr="00FB6408">
        <w:rPr>
          <w:rFonts w:cstheme="minorHAnsi"/>
          <w:sz w:val="24"/>
          <w:szCs w:val="24"/>
        </w:rPr>
        <w:t xml:space="preserve">to the definition of Opioid Use Disorder (OUD) treatment services </w:t>
      </w:r>
      <w:proofErr w:type="gramStart"/>
      <w:r w:rsidR="006A52A3" w:rsidRPr="00FB6408">
        <w:rPr>
          <w:rFonts w:cstheme="minorHAnsi"/>
          <w:sz w:val="24"/>
          <w:szCs w:val="24"/>
        </w:rPr>
        <w:t>in order to</w:t>
      </w:r>
      <w:proofErr w:type="gramEnd"/>
      <w:r w:rsidR="006A52A3" w:rsidRPr="00FB6408">
        <w:rPr>
          <w:rFonts w:cstheme="minorHAnsi"/>
          <w:sz w:val="24"/>
          <w:szCs w:val="24"/>
        </w:rPr>
        <w:t xml:space="preserve"> increase access to emergency treatment. Opioid Treatment Programs</w:t>
      </w:r>
      <w:r w:rsidR="00B402DE" w:rsidRPr="00FB6408">
        <w:rPr>
          <w:rFonts w:cstheme="minorHAnsi"/>
          <w:sz w:val="24"/>
          <w:szCs w:val="24"/>
        </w:rPr>
        <w:t xml:space="preserve"> (OTPs)</w:t>
      </w:r>
      <w:r w:rsidR="006A52A3" w:rsidRPr="00FB6408">
        <w:rPr>
          <w:rFonts w:cstheme="minorHAnsi"/>
          <w:sz w:val="24"/>
          <w:szCs w:val="24"/>
        </w:rPr>
        <w:t xml:space="preserve"> will be paid for dispensing naloxone to patients receiving OUD treatment services. </w:t>
      </w:r>
      <w:r w:rsidR="00347FB6" w:rsidRPr="00FB6408">
        <w:rPr>
          <w:rFonts w:cstheme="minorHAnsi"/>
          <w:sz w:val="24"/>
          <w:szCs w:val="24"/>
        </w:rPr>
        <w:t>P</w:t>
      </w:r>
      <w:r w:rsidR="006A52A3" w:rsidRPr="00FB6408">
        <w:rPr>
          <w:rFonts w:cstheme="minorHAnsi"/>
          <w:sz w:val="24"/>
          <w:szCs w:val="24"/>
        </w:rPr>
        <w:t xml:space="preserve">atients being treated at OTPs </w:t>
      </w:r>
      <w:r w:rsidR="00347FB6" w:rsidRPr="00FB6408">
        <w:rPr>
          <w:rFonts w:cstheme="minorHAnsi"/>
          <w:sz w:val="24"/>
          <w:szCs w:val="24"/>
        </w:rPr>
        <w:t>may</w:t>
      </w:r>
      <w:r w:rsidR="001076AE" w:rsidRPr="00FB6408">
        <w:rPr>
          <w:rFonts w:cstheme="minorHAnsi"/>
          <w:sz w:val="24"/>
          <w:szCs w:val="24"/>
        </w:rPr>
        <w:t xml:space="preserve"> </w:t>
      </w:r>
      <w:r w:rsidR="006A52A3" w:rsidRPr="00FB6408">
        <w:rPr>
          <w:rFonts w:cstheme="minorHAnsi"/>
          <w:sz w:val="24"/>
          <w:szCs w:val="24"/>
        </w:rPr>
        <w:t>receive take-home supplies of nasal naloxone on an as-needed basis from their OTP with no cost sharing.</w:t>
      </w:r>
    </w:p>
    <w:p w14:paraId="4E1A9524" w14:textId="77777777" w:rsidR="001076AE" w:rsidRPr="004A5165" w:rsidRDefault="001076AE" w:rsidP="0022226E">
      <w:pPr>
        <w:pStyle w:val="Default"/>
        <w:rPr>
          <w:rFonts w:asciiTheme="minorHAnsi" w:hAnsiTheme="minorHAnsi" w:cstheme="minorHAnsi"/>
        </w:rPr>
      </w:pPr>
    </w:p>
    <w:p w14:paraId="451831D9" w14:textId="6CD86D8D" w:rsidR="001E74A5" w:rsidRPr="004A5165" w:rsidRDefault="00347FB6" w:rsidP="00FF3CBF">
      <w:pPr>
        <w:pStyle w:val="Default"/>
        <w:rPr>
          <w:rFonts w:asciiTheme="minorHAnsi" w:hAnsiTheme="minorHAnsi" w:cstheme="minorHAnsi"/>
        </w:rPr>
      </w:pPr>
      <w:r w:rsidRPr="004A5165">
        <w:rPr>
          <w:rFonts w:asciiTheme="minorHAnsi" w:hAnsiTheme="minorHAnsi" w:cstheme="minorHAnsi"/>
        </w:rPr>
        <w:t>P</w:t>
      </w:r>
      <w:r w:rsidR="0035363A" w:rsidRPr="004A5165">
        <w:rPr>
          <w:rFonts w:asciiTheme="minorHAnsi" w:hAnsiTheme="minorHAnsi" w:cstheme="minorHAnsi"/>
        </w:rPr>
        <w:t>aym</w:t>
      </w:r>
      <w:r w:rsidR="00EB08D9" w:rsidRPr="004A5165">
        <w:rPr>
          <w:rFonts w:asciiTheme="minorHAnsi" w:hAnsiTheme="minorHAnsi" w:cstheme="minorHAnsi"/>
        </w:rPr>
        <w:t>ent</w:t>
      </w:r>
      <w:r w:rsidR="0035363A" w:rsidRPr="004A5165">
        <w:rPr>
          <w:rFonts w:asciiTheme="minorHAnsi" w:hAnsiTheme="minorHAnsi" w:cstheme="minorHAnsi"/>
        </w:rPr>
        <w:t xml:space="preserve"> for patient education about overdose and use of naloxone </w:t>
      </w:r>
      <w:r w:rsidRPr="004A5165">
        <w:rPr>
          <w:rFonts w:asciiTheme="minorHAnsi" w:hAnsiTheme="minorHAnsi" w:cstheme="minorHAnsi"/>
        </w:rPr>
        <w:t xml:space="preserve">will be added </w:t>
      </w:r>
      <w:r w:rsidR="0035363A" w:rsidRPr="004A5165">
        <w:rPr>
          <w:rFonts w:asciiTheme="minorHAnsi" w:hAnsiTheme="minorHAnsi" w:cstheme="minorHAnsi"/>
        </w:rPr>
        <w:t xml:space="preserve">to the payment for the medication instead of </w:t>
      </w:r>
      <w:r w:rsidRPr="004A5165">
        <w:rPr>
          <w:rFonts w:asciiTheme="minorHAnsi" w:hAnsiTheme="minorHAnsi" w:cstheme="minorHAnsi"/>
        </w:rPr>
        <w:t>through</w:t>
      </w:r>
      <w:r w:rsidR="001076AE" w:rsidRPr="004A5165">
        <w:rPr>
          <w:rFonts w:asciiTheme="minorHAnsi" w:hAnsiTheme="minorHAnsi" w:cstheme="minorHAnsi"/>
        </w:rPr>
        <w:t xml:space="preserve"> </w:t>
      </w:r>
      <w:r w:rsidR="0035363A" w:rsidRPr="004A5165">
        <w:rPr>
          <w:rFonts w:asciiTheme="minorHAnsi" w:hAnsiTheme="minorHAnsi" w:cstheme="minorHAnsi"/>
        </w:rPr>
        <w:t xml:space="preserve">a separate education code. </w:t>
      </w:r>
      <w:r w:rsidR="001E74A5" w:rsidRPr="004A5165">
        <w:rPr>
          <w:rFonts w:asciiTheme="minorHAnsi" w:hAnsiTheme="minorHAnsi" w:cstheme="minorHAnsi"/>
        </w:rPr>
        <w:t xml:space="preserve"> </w:t>
      </w:r>
    </w:p>
    <w:p w14:paraId="34AE501F" w14:textId="77777777" w:rsidR="001E74A5" w:rsidRPr="00FB6408" w:rsidRDefault="001E74A5" w:rsidP="001076AE">
      <w:pPr>
        <w:spacing w:after="0" w:line="240" w:lineRule="auto"/>
        <w:rPr>
          <w:rFonts w:cstheme="minorHAnsi"/>
          <w:b/>
          <w:bCs/>
          <w:sz w:val="28"/>
          <w:szCs w:val="28"/>
          <w:u w:val="single"/>
        </w:rPr>
      </w:pPr>
    </w:p>
    <w:p w14:paraId="269CE6BF" w14:textId="395CB591" w:rsidR="006A52A3" w:rsidRPr="00FB6408" w:rsidRDefault="007E457A" w:rsidP="001076AE">
      <w:pPr>
        <w:spacing w:after="0" w:line="240" w:lineRule="auto"/>
        <w:rPr>
          <w:rFonts w:cstheme="minorHAnsi"/>
          <w:b/>
          <w:bCs/>
          <w:sz w:val="28"/>
          <w:szCs w:val="28"/>
        </w:rPr>
      </w:pPr>
      <w:r w:rsidRPr="00FB6408">
        <w:rPr>
          <w:rFonts w:cstheme="minorHAnsi"/>
          <w:b/>
          <w:bCs/>
          <w:sz w:val="28"/>
          <w:szCs w:val="28"/>
        </w:rPr>
        <w:t>Medicare Record Documentation</w:t>
      </w:r>
    </w:p>
    <w:p w14:paraId="4F7BC832" w14:textId="77777777" w:rsidR="001076AE" w:rsidRPr="004A5165" w:rsidRDefault="001076AE" w:rsidP="001076AE">
      <w:pPr>
        <w:pStyle w:val="ListParagraph"/>
        <w:spacing w:after="0" w:line="240" w:lineRule="auto"/>
        <w:ind w:left="1440"/>
        <w:rPr>
          <w:rFonts w:cstheme="minorHAnsi"/>
          <w:sz w:val="24"/>
          <w:szCs w:val="24"/>
        </w:rPr>
      </w:pPr>
    </w:p>
    <w:p w14:paraId="49F8A1EF" w14:textId="2A95CA39" w:rsidR="007E457A" w:rsidRPr="00FF3CBF" w:rsidRDefault="007E457A" w:rsidP="00FF3CBF">
      <w:pPr>
        <w:spacing w:after="0" w:line="240" w:lineRule="auto"/>
        <w:rPr>
          <w:rFonts w:cstheme="minorHAnsi"/>
          <w:sz w:val="24"/>
          <w:szCs w:val="24"/>
        </w:rPr>
      </w:pPr>
      <w:r w:rsidRPr="00FF3CBF">
        <w:rPr>
          <w:rFonts w:cstheme="minorHAnsi"/>
          <w:sz w:val="24"/>
          <w:szCs w:val="24"/>
        </w:rPr>
        <w:t xml:space="preserve">Medical students and students of other disciplines working under a physician or practitioner who furnishes and bills directly for Medicare services, may document in the record </w:t>
      </w:r>
      <w:proofErr w:type="gramStart"/>
      <w:r w:rsidRPr="00FF3CBF">
        <w:rPr>
          <w:rFonts w:cstheme="minorHAnsi"/>
          <w:sz w:val="24"/>
          <w:szCs w:val="24"/>
        </w:rPr>
        <w:t>as long as</w:t>
      </w:r>
      <w:proofErr w:type="gramEnd"/>
      <w:r w:rsidRPr="00FF3CBF">
        <w:rPr>
          <w:rFonts w:cstheme="minorHAnsi"/>
          <w:sz w:val="24"/>
          <w:szCs w:val="24"/>
        </w:rPr>
        <w:t xml:space="preserve"> the document is reviewed, signed, and dated by the billing practitioner.</w:t>
      </w:r>
    </w:p>
    <w:p w14:paraId="45865D63" w14:textId="77777777" w:rsidR="001E74A5" w:rsidRPr="004A5165" w:rsidRDefault="001E74A5" w:rsidP="001076AE">
      <w:pPr>
        <w:spacing w:after="0" w:line="240" w:lineRule="auto"/>
        <w:rPr>
          <w:rFonts w:cstheme="minorHAnsi"/>
          <w:b/>
          <w:bCs/>
          <w:sz w:val="24"/>
          <w:szCs w:val="24"/>
          <w:u w:val="single"/>
        </w:rPr>
      </w:pPr>
    </w:p>
    <w:p w14:paraId="6C4CED60" w14:textId="1E4483F0" w:rsidR="006A52A3" w:rsidRPr="00FB6408" w:rsidRDefault="006A52A3" w:rsidP="001076AE">
      <w:pPr>
        <w:spacing w:after="0" w:line="240" w:lineRule="auto"/>
        <w:rPr>
          <w:rFonts w:cstheme="minorHAnsi"/>
          <w:b/>
          <w:bCs/>
          <w:sz w:val="28"/>
          <w:szCs w:val="28"/>
        </w:rPr>
      </w:pPr>
      <w:r w:rsidRPr="00FB6408">
        <w:rPr>
          <w:rFonts w:cstheme="minorHAnsi"/>
          <w:b/>
          <w:bCs/>
          <w:sz w:val="28"/>
          <w:szCs w:val="28"/>
        </w:rPr>
        <w:t>Quality Payment Program</w:t>
      </w:r>
    </w:p>
    <w:p w14:paraId="15DCF079" w14:textId="77777777" w:rsidR="001076AE" w:rsidRPr="004A5165" w:rsidRDefault="001076AE" w:rsidP="001076AE">
      <w:pPr>
        <w:spacing w:after="0" w:line="240" w:lineRule="auto"/>
        <w:rPr>
          <w:rFonts w:cstheme="minorHAnsi"/>
          <w:sz w:val="24"/>
          <w:szCs w:val="24"/>
        </w:rPr>
      </w:pPr>
    </w:p>
    <w:p w14:paraId="5E3B5A5C" w14:textId="791EA771" w:rsidR="006A52A3" w:rsidRPr="00FF3CBF" w:rsidRDefault="006A52A3" w:rsidP="00FF3CBF">
      <w:pPr>
        <w:spacing w:after="0" w:line="240" w:lineRule="auto"/>
        <w:rPr>
          <w:rFonts w:cstheme="minorHAnsi"/>
          <w:b/>
          <w:bCs/>
          <w:sz w:val="24"/>
          <w:szCs w:val="24"/>
          <w:u w:val="single"/>
        </w:rPr>
      </w:pPr>
      <w:r w:rsidRPr="00FF3CBF">
        <w:rPr>
          <w:rFonts w:cstheme="minorHAnsi"/>
          <w:sz w:val="24"/>
          <w:szCs w:val="24"/>
        </w:rPr>
        <w:t xml:space="preserve">CSWs </w:t>
      </w:r>
      <w:r w:rsidR="00FF3CBF" w:rsidRPr="00FF3CBF">
        <w:rPr>
          <w:rFonts w:cstheme="minorHAnsi"/>
          <w:sz w:val="24"/>
          <w:szCs w:val="24"/>
        </w:rPr>
        <w:t>were</w:t>
      </w:r>
      <w:r w:rsidRPr="00FF3CBF">
        <w:rPr>
          <w:rFonts w:cstheme="minorHAnsi"/>
          <w:sz w:val="24"/>
          <w:szCs w:val="24"/>
        </w:rPr>
        <w:t xml:space="preserve"> </w:t>
      </w:r>
      <w:r w:rsidR="0068206E" w:rsidRPr="00FF3CBF">
        <w:rPr>
          <w:rFonts w:cstheme="minorHAnsi"/>
          <w:sz w:val="24"/>
          <w:szCs w:val="24"/>
        </w:rPr>
        <w:t>not</w:t>
      </w:r>
      <w:r w:rsidR="00C54D21" w:rsidRPr="00FF3CBF">
        <w:rPr>
          <w:rFonts w:cstheme="minorHAnsi"/>
          <w:sz w:val="24"/>
          <w:szCs w:val="24"/>
        </w:rPr>
        <w:t xml:space="preserve"> </w:t>
      </w:r>
      <w:r w:rsidR="0068206E" w:rsidRPr="00FF3CBF">
        <w:rPr>
          <w:rFonts w:cstheme="minorHAnsi"/>
          <w:sz w:val="24"/>
          <w:szCs w:val="24"/>
        </w:rPr>
        <w:t>added as</w:t>
      </w:r>
      <w:r w:rsidR="00C54D21" w:rsidRPr="00FF3CBF">
        <w:rPr>
          <w:rFonts w:cstheme="minorHAnsi"/>
          <w:sz w:val="24"/>
          <w:szCs w:val="24"/>
        </w:rPr>
        <w:t xml:space="preserve"> </w:t>
      </w:r>
      <w:r w:rsidRPr="00FF3CBF">
        <w:rPr>
          <w:rFonts w:cstheme="minorHAnsi"/>
          <w:sz w:val="24"/>
          <w:szCs w:val="24"/>
        </w:rPr>
        <w:t xml:space="preserve">an eligible provider in Medicare’s Quality Payment Program for 2021. However, the final rule does provide a list of measures appropriate for use by CSWs. </w:t>
      </w:r>
    </w:p>
    <w:p w14:paraId="0D091836" w14:textId="65ACC79B" w:rsidR="00FB6408" w:rsidRDefault="00FB6408" w:rsidP="00FB6408">
      <w:pPr>
        <w:spacing w:after="0" w:line="240" w:lineRule="auto"/>
        <w:rPr>
          <w:rFonts w:cstheme="minorHAnsi"/>
          <w:b/>
          <w:bCs/>
          <w:sz w:val="24"/>
          <w:szCs w:val="24"/>
          <w:u w:val="single"/>
        </w:rPr>
      </w:pPr>
    </w:p>
    <w:p w14:paraId="307274BA" w14:textId="0CEB01BE" w:rsidR="00FB6408" w:rsidRDefault="00FB6408" w:rsidP="00FB6408">
      <w:pPr>
        <w:spacing w:after="0" w:line="240" w:lineRule="auto"/>
        <w:rPr>
          <w:rFonts w:cstheme="minorHAnsi"/>
          <w:b/>
          <w:bCs/>
          <w:sz w:val="24"/>
          <w:szCs w:val="24"/>
          <w:u w:val="single"/>
        </w:rPr>
      </w:pPr>
    </w:p>
    <w:p w14:paraId="2EAE90FE" w14:textId="082D6874" w:rsidR="00FB6408" w:rsidRPr="00FB6408" w:rsidRDefault="00FB6408" w:rsidP="00FB6408">
      <w:pPr>
        <w:spacing w:after="0" w:line="240" w:lineRule="auto"/>
        <w:rPr>
          <w:rFonts w:cstheme="minorHAnsi"/>
          <w:b/>
          <w:bCs/>
          <w:sz w:val="24"/>
          <w:szCs w:val="24"/>
          <w:u w:val="single"/>
        </w:rPr>
      </w:pPr>
      <w:r>
        <w:rPr>
          <w:rFonts w:cstheme="minorHAnsi"/>
          <w:b/>
          <w:bCs/>
          <w:sz w:val="24"/>
          <w:szCs w:val="24"/>
          <w:u w:val="single"/>
        </w:rPr>
        <w:br/>
      </w:r>
    </w:p>
    <w:bookmarkEnd w:id="3"/>
    <w:sectPr w:rsidR="00FB6408" w:rsidRPr="00FB6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D9A"/>
    <w:multiLevelType w:val="hybridMultilevel"/>
    <w:tmpl w:val="DE42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A588E"/>
    <w:multiLevelType w:val="hybridMultilevel"/>
    <w:tmpl w:val="1EF6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937C9"/>
    <w:multiLevelType w:val="hybridMultilevel"/>
    <w:tmpl w:val="0F9E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15E81"/>
    <w:multiLevelType w:val="hybridMultilevel"/>
    <w:tmpl w:val="3B3C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D4F78"/>
    <w:multiLevelType w:val="hybridMultilevel"/>
    <w:tmpl w:val="DBF83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1146DF"/>
    <w:multiLevelType w:val="hybridMultilevel"/>
    <w:tmpl w:val="144E4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A3"/>
    <w:rsid w:val="00071C21"/>
    <w:rsid w:val="001076AE"/>
    <w:rsid w:val="001A404C"/>
    <w:rsid w:val="001E74A5"/>
    <w:rsid w:val="0022226E"/>
    <w:rsid w:val="002252E6"/>
    <w:rsid w:val="00260AFF"/>
    <w:rsid w:val="00273314"/>
    <w:rsid w:val="00347FB6"/>
    <w:rsid w:val="0035363A"/>
    <w:rsid w:val="00431E2F"/>
    <w:rsid w:val="004A5165"/>
    <w:rsid w:val="004C75B0"/>
    <w:rsid w:val="004F6A3B"/>
    <w:rsid w:val="00600AE4"/>
    <w:rsid w:val="00601F4D"/>
    <w:rsid w:val="0064560D"/>
    <w:rsid w:val="0068206E"/>
    <w:rsid w:val="006A52A3"/>
    <w:rsid w:val="006E2898"/>
    <w:rsid w:val="007161BF"/>
    <w:rsid w:val="007549BE"/>
    <w:rsid w:val="007E457A"/>
    <w:rsid w:val="00A64D0F"/>
    <w:rsid w:val="00AB1A4B"/>
    <w:rsid w:val="00B402DE"/>
    <w:rsid w:val="00B717DB"/>
    <w:rsid w:val="00B97BEC"/>
    <w:rsid w:val="00BC51FF"/>
    <w:rsid w:val="00C54D21"/>
    <w:rsid w:val="00C70DAD"/>
    <w:rsid w:val="00C77600"/>
    <w:rsid w:val="00CC227B"/>
    <w:rsid w:val="00CC3F18"/>
    <w:rsid w:val="00CC661A"/>
    <w:rsid w:val="00E14B5E"/>
    <w:rsid w:val="00EB08D9"/>
    <w:rsid w:val="00EE0EE4"/>
    <w:rsid w:val="00EE418A"/>
    <w:rsid w:val="00FB6408"/>
    <w:rsid w:val="00FD03E2"/>
    <w:rsid w:val="00FF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C6F2"/>
  <w15:chartTrackingRefBased/>
  <w15:docId w15:val="{BC05AC21-0223-46A7-B24B-92C2FB02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2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A52A3"/>
    <w:pPr>
      <w:ind w:left="720"/>
      <w:contextualSpacing/>
    </w:pPr>
  </w:style>
  <w:style w:type="paragraph" w:styleId="NormalWeb">
    <w:name w:val="Normal (Web)"/>
    <w:basedOn w:val="Normal"/>
    <w:uiPriority w:val="99"/>
    <w:unhideWhenUsed/>
    <w:rsid w:val="006A52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0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DE"/>
    <w:rPr>
      <w:rFonts w:ascii="Segoe UI" w:hAnsi="Segoe UI" w:cs="Segoe UI"/>
      <w:sz w:val="18"/>
      <w:szCs w:val="18"/>
    </w:rPr>
  </w:style>
  <w:style w:type="character" w:styleId="Hyperlink">
    <w:name w:val="Hyperlink"/>
    <w:basedOn w:val="DefaultParagraphFont"/>
    <w:uiPriority w:val="99"/>
    <w:unhideWhenUsed/>
    <w:rsid w:val="004F6A3B"/>
    <w:rPr>
      <w:color w:val="0563C1" w:themeColor="hyperlink"/>
      <w:u w:val="single"/>
    </w:rPr>
  </w:style>
  <w:style w:type="character" w:styleId="UnresolvedMention">
    <w:name w:val="Unresolved Mention"/>
    <w:basedOn w:val="DefaultParagraphFont"/>
    <w:uiPriority w:val="99"/>
    <w:semiHidden/>
    <w:unhideWhenUsed/>
    <w:rsid w:val="004F6A3B"/>
    <w:rPr>
      <w:color w:val="605E5C"/>
      <w:shd w:val="clear" w:color="auto" w:fill="E1DFDD"/>
    </w:rPr>
  </w:style>
  <w:style w:type="character" w:styleId="CommentReference">
    <w:name w:val="annotation reference"/>
    <w:basedOn w:val="DefaultParagraphFont"/>
    <w:uiPriority w:val="99"/>
    <w:semiHidden/>
    <w:unhideWhenUsed/>
    <w:rsid w:val="00EE418A"/>
    <w:rPr>
      <w:sz w:val="16"/>
      <w:szCs w:val="16"/>
    </w:rPr>
  </w:style>
  <w:style w:type="paragraph" w:styleId="CommentText">
    <w:name w:val="annotation text"/>
    <w:basedOn w:val="Normal"/>
    <w:link w:val="CommentTextChar"/>
    <w:uiPriority w:val="99"/>
    <w:semiHidden/>
    <w:unhideWhenUsed/>
    <w:rsid w:val="00EE418A"/>
    <w:pPr>
      <w:spacing w:line="240" w:lineRule="auto"/>
    </w:pPr>
    <w:rPr>
      <w:sz w:val="20"/>
      <w:szCs w:val="20"/>
    </w:rPr>
  </w:style>
  <w:style w:type="character" w:customStyle="1" w:styleId="CommentTextChar">
    <w:name w:val="Comment Text Char"/>
    <w:basedOn w:val="DefaultParagraphFont"/>
    <w:link w:val="CommentText"/>
    <w:uiPriority w:val="99"/>
    <w:semiHidden/>
    <w:rsid w:val="00EE418A"/>
    <w:rPr>
      <w:sz w:val="20"/>
      <w:szCs w:val="20"/>
    </w:rPr>
  </w:style>
  <w:style w:type="paragraph" w:styleId="CommentSubject">
    <w:name w:val="annotation subject"/>
    <w:basedOn w:val="CommentText"/>
    <w:next w:val="CommentText"/>
    <w:link w:val="CommentSubjectChar"/>
    <w:uiPriority w:val="99"/>
    <w:semiHidden/>
    <w:unhideWhenUsed/>
    <w:rsid w:val="00EE418A"/>
    <w:rPr>
      <w:b/>
      <w:bCs/>
    </w:rPr>
  </w:style>
  <w:style w:type="character" w:customStyle="1" w:styleId="CommentSubjectChar">
    <w:name w:val="Comment Subject Char"/>
    <w:basedOn w:val="CommentTextChar"/>
    <w:link w:val="CommentSubject"/>
    <w:uiPriority w:val="99"/>
    <w:semiHidden/>
    <w:rsid w:val="00EE41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751843">
      <w:bodyDiv w:val="1"/>
      <w:marLeft w:val="0"/>
      <w:marRight w:val="0"/>
      <w:marTop w:val="0"/>
      <w:marBottom w:val="0"/>
      <w:divBdr>
        <w:top w:val="none" w:sz="0" w:space="0" w:color="auto"/>
        <w:left w:val="none" w:sz="0" w:space="0" w:color="auto"/>
        <w:bottom w:val="none" w:sz="0" w:space="0" w:color="auto"/>
        <w:right w:val="none" w:sz="0" w:space="0" w:color="auto"/>
      </w:divBdr>
    </w:div>
    <w:div w:id="932201481">
      <w:bodyDiv w:val="1"/>
      <w:marLeft w:val="0"/>
      <w:marRight w:val="0"/>
      <w:marTop w:val="0"/>
      <w:marBottom w:val="0"/>
      <w:divBdr>
        <w:top w:val="none" w:sz="0" w:space="0" w:color="auto"/>
        <w:left w:val="none" w:sz="0" w:space="0" w:color="auto"/>
        <w:bottom w:val="none" w:sz="0" w:space="0" w:color="auto"/>
        <w:right w:val="none" w:sz="0" w:space="0" w:color="auto"/>
      </w:divBdr>
    </w:div>
    <w:div w:id="1811825777">
      <w:bodyDiv w:val="1"/>
      <w:marLeft w:val="0"/>
      <w:marRight w:val="0"/>
      <w:marTop w:val="0"/>
      <w:marBottom w:val="0"/>
      <w:divBdr>
        <w:top w:val="none" w:sz="0" w:space="0" w:color="auto"/>
        <w:left w:val="none" w:sz="0" w:space="0" w:color="auto"/>
        <w:bottom w:val="none" w:sz="0" w:space="0" w:color="auto"/>
        <w:right w:val="none" w:sz="0" w:space="0" w:color="auto"/>
      </w:divBdr>
    </w:div>
    <w:div w:id="1824421036">
      <w:bodyDiv w:val="1"/>
      <w:marLeft w:val="0"/>
      <w:marRight w:val="0"/>
      <w:marTop w:val="0"/>
      <w:marBottom w:val="0"/>
      <w:divBdr>
        <w:top w:val="none" w:sz="0" w:space="0" w:color="auto"/>
        <w:left w:val="none" w:sz="0" w:space="0" w:color="auto"/>
        <w:bottom w:val="none" w:sz="0" w:space="0" w:color="auto"/>
        <w:right w:val="none" w:sz="0" w:space="0" w:color="auto"/>
      </w:divBdr>
    </w:div>
    <w:div w:id="195278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Mirean</dc:creator>
  <cp:keywords/>
  <dc:description/>
  <cp:lastModifiedBy>Mangum, Anna</cp:lastModifiedBy>
  <cp:revision>9</cp:revision>
  <dcterms:created xsi:type="dcterms:W3CDTF">2020-12-18T13:54:00Z</dcterms:created>
  <dcterms:modified xsi:type="dcterms:W3CDTF">2020-12-18T15:07:00Z</dcterms:modified>
</cp:coreProperties>
</file>